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EC75" w14:textId="77777777" w:rsidR="000D179E" w:rsidRPr="000D179E" w:rsidRDefault="000D179E" w:rsidP="00F60132">
      <w:pPr>
        <w:jc w:val="center"/>
        <w:rPr>
          <w:b/>
          <w:bCs/>
        </w:rPr>
      </w:pPr>
      <w:r w:rsidRPr="000D179E">
        <w:rPr>
          <w:b/>
          <w:bCs/>
        </w:rPr>
        <w:t xml:space="preserve">Accounting for Authorial Labor in Women’s Self-Published Texts of the </w:t>
      </w:r>
    </w:p>
    <w:p w14:paraId="457AE588" w14:textId="16C476BD" w:rsidR="000D179E" w:rsidRPr="000D179E" w:rsidRDefault="000D179E" w:rsidP="00F60132">
      <w:pPr>
        <w:jc w:val="center"/>
        <w:rPr>
          <w:b/>
          <w:bCs/>
        </w:rPr>
      </w:pPr>
      <w:r w:rsidRPr="000D179E">
        <w:rPr>
          <w:b/>
          <w:bCs/>
        </w:rPr>
        <w:t>Long Eighteenth Century</w:t>
      </w:r>
    </w:p>
    <w:p w14:paraId="3CA334CD" w14:textId="70AC6606" w:rsidR="00810660" w:rsidRDefault="000D179E" w:rsidP="00F60132">
      <w:pPr>
        <w:jc w:val="center"/>
      </w:pPr>
      <w:r>
        <w:t>Emily D. Spunaugle</w:t>
      </w:r>
    </w:p>
    <w:p w14:paraId="20D2EB2B" w14:textId="331B2B79" w:rsidR="000D179E" w:rsidRDefault="000D179E" w:rsidP="00F60132">
      <w:pPr>
        <w:jc w:val="center"/>
      </w:pPr>
      <w:hyperlink r:id="rId6" w:history="1">
        <w:r w:rsidRPr="00CE64C8">
          <w:rPr>
            <w:rStyle w:val="Hyperlink"/>
          </w:rPr>
          <w:t>spunaugle@oakland.edu</w:t>
        </w:r>
      </w:hyperlink>
    </w:p>
    <w:p w14:paraId="332CA551" w14:textId="345F7D5A" w:rsidR="000D179E" w:rsidRDefault="000D179E" w:rsidP="00F60132">
      <w:pPr>
        <w:jc w:val="center"/>
      </w:pPr>
    </w:p>
    <w:p w14:paraId="3650FDCF" w14:textId="77777777" w:rsidR="006E7CAC" w:rsidRDefault="006E7CAC" w:rsidP="006E7CAC">
      <w:pPr>
        <w:pStyle w:val="NormalWeb"/>
        <w:spacing w:before="0" w:beforeAutospacing="0" w:after="0" w:afterAutospacing="0"/>
        <w:ind w:firstLine="720"/>
        <w:contextualSpacing/>
        <w:rPr>
          <w:color w:val="000000"/>
        </w:rPr>
      </w:pPr>
      <w:r>
        <w:rPr>
          <w:color w:val="000000" w:themeColor="text1"/>
        </w:rPr>
        <w:t>One</w:t>
      </w:r>
      <w:r w:rsidRPr="006A0D31">
        <w:rPr>
          <w:color w:val="000000" w:themeColor="text1"/>
        </w:rPr>
        <w:t xml:space="preserve"> antidote to </w:t>
      </w:r>
      <w:r>
        <w:rPr>
          <w:color w:val="000000" w:themeColor="text1"/>
        </w:rPr>
        <w:t xml:space="preserve">literary studies’ </w:t>
      </w:r>
      <w:r>
        <w:rPr>
          <w:color w:val="000000" w:themeColor="text1"/>
        </w:rPr>
        <w:t xml:space="preserve">obsession with imaginative, </w:t>
      </w:r>
      <w:r>
        <w:rPr>
          <w:color w:val="000000" w:themeColor="text1"/>
        </w:rPr>
        <w:t>masculine, Romantic ideals of authorship</w:t>
      </w:r>
      <w:r>
        <w:rPr>
          <w:color w:val="000000" w:themeColor="text1"/>
        </w:rPr>
        <w:t xml:space="preserve"> labor </w:t>
      </w:r>
      <w:r w:rsidRPr="006A0D31">
        <w:rPr>
          <w:color w:val="000000" w:themeColor="text1"/>
        </w:rPr>
        <w:t>has been to shift attention to the creative-adjacent labors and text work writ large to restore to printed objects the realities of the human activity required for their existence</w:t>
      </w:r>
      <w:r>
        <w:rPr>
          <w:color w:val="000000" w:themeColor="text1"/>
        </w:rPr>
        <w:t>—including the labor of women</w:t>
      </w:r>
      <w:r w:rsidRPr="006A0D31">
        <w:rPr>
          <w:color w:val="000000" w:themeColor="text1"/>
        </w:rPr>
        <w:t xml:space="preserve">. </w:t>
      </w:r>
      <w:r w:rsidR="00D14B4C">
        <w:rPr>
          <w:color w:val="000000"/>
        </w:rPr>
        <w:t xml:space="preserve">Book history’s corrective to literary studies shows that printing and publishing required many hands doing muddled albeit distinct tasks. </w:t>
      </w:r>
      <w:r>
        <w:rPr>
          <w:color w:val="000000"/>
        </w:rPr>
        <w:t>Feminist s</w:t>
      </w:r>
      <w:r w:rsidR="00D14B4C">
        <w:rPr>
          <w:color w:val="000000"/>
        </w:rPr>
        <w:t xml:space="preserve">cholarship such as that of Lisa </w:t>
      </w:r>
      <w:proofErr w:type="spellStart"/>
      <w:r w:rsidR="00D14B4C">
        <w:rPr>
          <w:color w:val="000000"/>
        </w:rPr>
        <w:t>Maruca</w:t>
      </w:r>
      <w:proofErr w:type="spellEnd"/>
      <w:r w:rsidR="00D14B4C">
        <w:rPr>
          <w:color w:val="000000"/>
        </w:rPr>
        <w:t xml:space="preserve">, Kate Ozment, Helen Smith, and others is a useful corrective to the “lone artisan” nostalgia promulgated by anachronistic </w:t>
      </w:r>
      <w:proofErr w:type="spellStart"/>
      <w:r w:rsidR="00D14B4C">
        <w:rPr>
          <w:color w:val="000000"/>
        </w:rPr>
        <w:t>intentionalists</w:t>
      </w:r>
      <w:proofErr w:type="spellEnd"/>
      <w:r w:rsidR="00D14B4C">
        <w:rPr>
          <w:color w:val="000000"/>
        </w:rPr>
        <w:t xml:space="preserve"> like William Morris, </w:t>
      </w:r>
      <w:r w:rsidR="00F65C57">
        <w:rPr>
          <w:color w:val="000000"/>
        </w:rPr>
        <w:t>as well as the</w:t>
      </w:r>
      <w:r w:rsidR="00D14B4C">
        <w:rPr>
          <w:color w:val="000000"/>
        </w:rPr>
        <w:t xml:space="preserve"> hangover from Fordist mode of production</w:t>
      </w:r>
      <w:r w:rsidR="00F65C57">
        <w:rPr>
          <w:color w:val="000000"/>
        </w:rPr>
        <w:t xml:space="preserve"> and its distinct division of labor</w:t>
      </w:r>
      <w:r w:rsidR="00D14B4C">
        <w:rPr>
          <w:color w:val="000000"/>
        </w:rPr>
        <w:t>.</w:t>
      </w:r>
      <w:r w:rsidR="00FE4CF6">
        <w:rPr>
          <w:rStyle w:val="EndnoteReference"/>
          <w:color w:val="000000"/>
        </w:rPr>
        <w:endnoteReference w:id="1"/>
      </w:r>
      <w:r w:rsidR="00FE4CF6">
        <w:rPr>
          <w:color w:val="000000"/>
        </w:rPr>
        <w:t xml:space="preserve"> </w:t>
      </w:r>
      <w:r w:rsidR="00FE4CF6">
        <w:t xml:space="preserve">Given literary history’s dismissal of women writers, </w:t>
      </w:r>
      <w:r w:rsidR="00FE4CF6" w:rsidRPr="008B5691">
        <w:rPr>
          <w:i/>
          <w:iCs/>
          <w:color w:val="000000"/>
        </w:rPr>
        <w:t>professionalism</w:t>
      </w:r>
      <w:r w:rsidR="00FE4CF6">
        <w:rPr>
          <w:color w:val="000000"/>
        </w:rPr>
        <w:t xml:space="preserve"> has been the vehicle through which women’s writings have progressed</w:t>
      </w:r>
      <w:r>
        <w:rPr>
          <w:color w:val="000000"/>
        </w:rPr>
        <w:t xml:space="preserve">, </w:t>
      </w:r>
      <w:r w:rsidR="00974EA3">
        <w:rPr>
          <w:color w:val="000000"/>
        </w:rPr>
        <w:t xml:space="preserve">emphasizing the ways </w:t>
      </w:r>
      <w:r>
        <w:rPr>
          <w:color w:val="000000"/>
        </w:rPr>
        <w:t>these texts were</w:t>
      </w:r>
      <w:r w:rsidR="00974EA3">
        <w:rPr>
          <w:color w:val="000000"/>
        </w:rPr>
        <w:t xml:space="preserve"> intentional, strategic, and programmatic, rather than accidental, circumstantial, or lucky</w:t>
      </w:r>
      <w:r w:rsidR="00974EA3">
        <w:rPr>
          <w:color w:val="000000"/>
        </w:rPr>
        <w:t>.</w:t>
      </w:r>
      <w:r w:rsidR="00974EA3">
        <w:rPr>
          <w:rStyle w:val="EndnoteReference"/>
          <w:color w:val="000000"/>
        </w:rPr>
        <w:endnoteReference w:id="2"/>
      </w:r>
      <w:r w:rsidR="00974EA3">
        <w:rPr>
          <w:color w:val="000000"/>
        </w:rPr>
        <w:t xml:space="preserve"> The </w:t>
      </w:r>
      <w:r w:rsidR="00974EA3">
        <w:rPr>
          <w:color w:val="000000"/>
        </w:rPr>
        <w:t xml:space="preserve">discourse of professionalism traffics in </w:t>
      </w:r>
      <w:r>
        <w:rPr>
          <w:color w:val="000000"/>
        </w:rPr>
        <w:t xml:space="preserve">the </w:t>
      </w:r>
      <w:r w:rsidR="00974EA3">
        <w:rPr>
          <w:color w:val="000000"/>
        </w:rPr>
        <w:t>skill, intent, self-fashioning, and strategy</w:t>
      </w:r>
      <w:r>
        <w:rPr>
          <w:color w:val="000000"/>
        </w:rPr>
        <w:t xml:space="preserve"> of its authors and editors. </w:t>
      </w:r>
    </w:p>
    <w:p w14:paraId="2A19348D" w14:textId="37AC70FE" w:rsidR="00FC43E0" w:rsidRDefault="00321767" w:rsidP="00827257">
      <w:pPr>
        <w:pStyle w:val="NormalWeb"/>
        <w:spacing w:before="0" w:beforeAutospacing="0" w:after="0" w:afterAutospacing="0"/>
        <w:ind w:firstLine="720"/>
        <w:contextualSpacing/>
        <w:rPr>
          <w:kern w:val="1"/>
        </w:rPr>
      </w:pPr>
      <w:r>
        <w:t xml:space="preserve">This </w:t>
      </w:r>
      <w:r>
        <w:t>paper</w:t>
      </w:r>
      <w:r>
        <w:t xml:space="preserve"> unites and expands these important lessons from recent scholarship in women in book history </w:t>
      </w:r>
      <w:r w:rsidRPr="00EB2877">
        <w:rPr>
          <w:i/>
          <w:iCs/>
        </w:rPr>
        <w:t>and</w:t>
      </w:r>
      <w:r>
        <w:t xml:space="preserve"> on the professionalization of the woman author. To better conceptualize the trade by drawing to the fore the hidden, erased, deemphasized, and misunderstood roles of those involved in production, t</w:t>
      </w:r>
      <w:r w:rsidRPr="0011342E">
        <w:t xml:space="preserve">his essay returns to the body of the author </w:t>
      </w:r>
      <w:r w:rsidRPr="0011342E">
        <w:rPr>
          <w:i/>
          <w:iCs/>
        </w:rPr>
        <w:t>not</w:t>
      </w:r>
      <w:r w:rsidRPr="0011342E">
        <w:t xml:space="preserve"> to reattribute texts or create a new canon, although recovery work is paramount. Instead, this </w:t>
      </w:r>
      <w:r>
        <w:t>paper</w:t>
      </w:r>
      <w:r w:rsidRPr="0011342E">
        <w:t xml:space="preserve"> a</w:t>
      </w:r>
      <w:r>
        <w:t xml:space="preserve">voids the cult of the author-function created in concert with celebrity and instead uses the examples of relatively unknown </w:t>
      </w:r>
      <w:r w:rsidRPr="0011342E">
        <w:t xml:space="preserve">authors to account for their labors </w:t>
      </w:r>
      <w:proofErr w:type="gramStart"/>
      <w:r w:rsidRPr="0011342E">
        <w:t>in excess of</w:t>
      </w:r>
      <w:proofErr w:type="gramEnd"/>
      <w:r w:rsidRPr="0011342E">
        <w:t xml:space="preserve"> composition.</w:t>
      </w:r>
      <w:r>
        <w:t xml:space="preserve"> </w:t>
      </w:r>
      <w:r w:rsidR="006E7CAC">
        <w:rPr>
          <w:kern w:val="1"/>
        </w:rPr>
        <w:t xml:space="preserve">First, I’ll talk about the silent work captured in the word “publication,” </w:t>
      </w:r>
      <w:r w:rsidR="00827257">
        <w:rPr>
          <w:kern w:val="1"/>
        </w:rPr>
        <w:t xml:space="preserve">and </w:t>
      </w:r>
      <w:r w:rsidR="00827257">
        <w:t xml:space="preserve">propose the term </w:t>
      </w:r>
      <w:r w:rsidR="00827257" w:rsidRPr="008C7AF2">
        <w:rPr>
          <w:i/>
          <w:iCs/>
        </w:rPr>
        <w:t>author-facilitated</w:t>
      </w:r>
      <w:r w:rsidR="00827257">
        <w:t xml:space="preserve"> </w:t>
      </w:r>
      <w:r w:rsidR="00827257" w:rsidRPr="006F0117">
        <w:rPr>
          <w:i/>
          <w:iCs/>
        </w:rPr>
        <w:t>publication</w:t>
      </w:r>
      <w:r w:rsidR="00827257">
        <w:rPr>
          <w:i/>
          <w:iCs/>
        </w:rPr>
        <w:t xml:space="preserve"> </w:t>
      </w:r>
      <w:r w:rsidR="00827257">
        <w:rPr>
          <w:kern w:val="1"/>
        </w:rPr>
        <w:t>to account for the</w:t>
      </w:r>
      <w:r w:rsidR="00827257" w:rsidRPr="00414C01">
        <w:rPr>
          <w:kern w:val="1"/>
        </w:rPr>
        <w:t xml:space="preserve"> physical, mental, and emotional hustle required for an author to see their work in print.</w:t>
      </w:r>
      <w:r w:rsidR="00827257">
        <w:rPr>
          <w:kern w:val="1"/>
        </w:rPr>
        <w:t xml:space="preserve"> Then, I’ll use the example of Scottish author Jean Marishall (active 1765-1789)’s </w:t>
      </w:r>
      <w:r w:rsidR="00827257">
        <w:rPr>
          <w:i/>
          <w:iCs/>
          <w:kern w:val="1"/>
        </w:rPr>
        <w:t>A Series of Letters</w:t>
      </w:r>
      <w:r w:rsidR="00827257">
        <w:rPr>
          <w:kern w:val="1"/>
        </w:rPr>
        <w:t xml:space="preserve"> (1788-89), which include detailed accounts of her attempts to publish t</w:t>
      </w:r>
      <w:r w:rsidR="00FC43E0">
        <w:t xml:space="preserve">o highlight </w:t>
      </w:r>
      <w:r w:rsidR="00827257">
        <w:t>her author-facilitated publishing activities, which required significant</w:t>
      </w:r>
      <w:r w:rsidR="00FC43E0" w:rsidRPr="00440E67">
        <w:t xml:space="preserve"> agency </w:t>
      </w:r>
      <w:r w:rsidR="00FC43E0">
        <w:t>and industry</w:t>
      </w:r>
      <w:r w:rsidR="00827257">
        <w:t xml:space="preserve"> to </w:t>
      </w:r>
      <w:r w:rsidR="00FC43E0">
        <w:t>shepherd</w:t>
      </w:r>
      <w:r w:rsidR="00827257">
        <w:t xml:space="preserve"> her</w:t>
      </w:r>
      <w:r w:rsidR="00FC43E0">
        <w:t xml:space="preserve"> </w:t>
      </w:r>
      <w:r w:rsidR="00FC43E0" w:rsidRPr="00440E67">
        <w:t>work into print</w:t>
      </w:r>
      <w:r w:rsidR="00827257">
        <w:t>.</w:t>
      </w:r>
      <w:r w:rsidR="006E7CAC">
        <w:rPr>
          <w:kern w:val="1"/>
        </w:rPr>
        <w:t xml:space="preserve"> </w:t>
      </w:r>
    </w:p>
    <w:p w14:paraId="6D778428" w14:textId="77777777" w:rsidR="00AD70BE" w:rsidRPr="00827257" w:rsidRDefault="00AD70BE" w:rsidP="00827257">
      <w:pPr>
        <w:pStyle w:val="NormalWeb"/>
        <w:spacing w:before="0" w:beforeAutospacing="0" w:after="0" w:afterAutospacing="0"/>
        <w:ind w:firstLine="720"/>
        <w:contextualSpacing/>
        <w:rPr>
          <w:kern w:val="1"/>
        </w:rPr>
      </w:pPr>
    </w:p>
    <w:p w14:paraId="73528BE9" w14:textId="5988471F" w:rsidR="00F65C57" w:rsidRPr="00F65C57" w:rsidRDefault="00F65C57" w:rsidP="00F65C57">
      <w:pPr>
        <w:rPr>
          <w:b/>
          <w:bCs/>
        </w:rPr>
      </w:pPr>
      <w:r w:rsidRPr="00F65C57">
        <w:rPr>
          <w:b/>
          <w:bCs/>
        </w:rPr>
        <w:t>Author-Facilitated Publication</w:t>
      </w:r>
    </w:p>
    <w:p w14:paraId="40F8D912" w14:textId="55492D0F" w:rsidR="00F60132" w:rsidRPr="00D77D9D" w:rsidRDefault="00321767" w:rsidP="00D77D9D">
      <w:pPr>
        <w:ind w:firstLine="720"/>
      </w:pPr>
      <w:r>
        <w:t xml:space="preserve">The term “publishing” holds many different definitions—legally, literarily, and bibliographically, across the eighteenth century. </w:t>
      </w:r>
      <w:r w:rsidRPr="00256472">
        <w:t xml:space="preserve">Keith Maslen notes that the </w:t>
      </w:r>
      <w:r>
        <w:t xml:space="preserve">print </w:t>
      </w:r>
      <w:r w:rsidRPr="00256472">
        <w:t>publication process requires “at least three distinct agents: first the capitalist or undertaker who finances the venture and makes vital decisions, such as the number of copies to be printed; next the productive craftsmen, especially the printer; and lastly the commercial tradesmen who handle wholesale and retail distribution.”</w:t>
      </w:r>
      <w:r w:rsidRPr="00256472">
        <w:rPr>
          <w:vertAlign w:val="superscript"/>
        </w:rPr>
        <w:endnoteReference w:id="3"/>
      </w:r>
      <w:r w:rsidR="00FC43E0">
        <w:t xml:space="preserve"> </w:t>
      </w:r>
      <w:r w:rsidR="0099263F">
        <w:rPr>
          <w:color w:val="000000"/>
        </w:rPr>
        <w:t xml:space="preserve">Recent scholarship in book history </w:t>
      </w:r>
      <w:r w:rsidR="0099263F">
        <w:rPr>
          <w:color w:val="000000"/>
        </w:rPr>
        <w:t xml:space="preserve">by John Feather and J. A. </w:t>
      </w:r>
      <w:proofErr w:type="spellStart"/>
      <w:r w:rsidR="0099263F">
        <w:rPr>
          <w:color w:val="000000"/>
        </w:rPr>
        <w:t>Downie</w:t>
      </w:r>
      <w:proofErr w:type="spellEnd"/>
      <w:r w:rsidR="0099263F">
        <w:rPr>
          <w:color w:val="000000"/>
        </w:rPr>
        <w:t xml:space="preserve"> have</w:t>
      </w:r>
      <w:r w:rsidR="0099263F">
        <w:rPr>
          <w:color w:val="000000"/>
        </w:rPr>
        <w:t xml:space="preserve"> highlighted the </w:t>
      </w:r>
      <w:r w:rsidR="00D77D9D">
        <w:rPr>
          <w:color w:val="000000"/>
        </w:rPr>
        <w:t xml:space="preserve">underestimated </w:t>
      </w:r>
      <w:r w:rsidR="0099263F">
        <w:rPr>
          <w:color w:val="000000"/>
        </w:rPr>
        <w:t>role of the author</w:t>
      </w:r>
      <w:r w:rsidR="0036354C">
        <w:rPr>
          <w:color w:val="000000"/>
        </w:rPr>
        <w:t>, too,</w:t>
      </w:r>
      <w:r w:rsidR="0099263F">
        <w:rPr>
          <w:color w:val="000000"/>
        </w:rPr>
        <w:t xml:space="preserve"> in the financial arrangements of publication</w:t>
      </w:r>
      <w:r w:rsidR="0099263F">
        <w:t>.</w:t>
      </w:r>
      <w:r w:rsidR="0099263F">
        <w:rPr>
          <w:rStyle w:val="EndnoteReference"/>
        </w:rPr>
        <w:endnoteReference w:id="4"/>
      </w:r>
      <w:r w:rsidR="00F60132" w:rsidRPr="00C16F2A">
        <w:t xml:space="preserve"> The line between “co-publisher” and “self-publisher</w:t>
      </w:r>
      <w:r w:rsidR="0076396B">
        <w:t>,</w:t>
      </w:r>
      <w:r w:rsidR="00F60132" w:rsidRPr="00C16F2A">
        <w:t>”</w:t>
      </w:r>
      <w:r w:rsidR="0076396B">
        <w:t xml:space="preserve"> then,</w:t>
      </w:r>
      <w:r w:rsidR="00F60132" w:rsidRPr="00C16F2A">
        <w:t xml:space="preserve"> is tenuous—if meaningful at all</w:t>
      </w:r>
      <w:r w:rsidR="00F60132">
        <w:t>.</w:t>
      </w:r>
    </w:p>
    <w:p w14:paraId="5E3259AA" w14:textId="0E52E4FE" w:rsidR="00F60132" w:rsidRPr="006E7CAC" w:rsidRDefault="0076396B" w:rsidP="006E7CAC">
      <w:pPr>
        <w:ind w:firstLine="720"/>
        <w:contextualSpacing/>
      </w:pPr>
      <w:r>
        <w:t>A</w:t>
      </w:r>
      <w:r w:rsidR="00F60132" w:rsidRPr="00C16F2A">
        <w:t xml:space="preserve">uthorial </w:t>
      </w:r>
      <w:r w:rsidR="00D77D9D">
        <w:t>involvement</w:t>
      </w:r>
      <w:r>
        <w:t xml:space="preserve"> </w:t>
      </w:r>
      <w:r w:rsidR="00F60132" w:rsidRPr="00C16F2A">
        <w:t xml:space="preserve">is not limited to </w:t>
      </w:r>
      <w:r w:rsidR="00D77D9D">
        <w:t>an author’s outlay of money</w:t>
      </w:r>
      <w:r w:rsidR="0036354C">
        <w:t xml:space="preserve">. </w:t>
      </w:r>
      <w:r w:rsidR="00D77D9D">
        <w:t>Table 1</w:t>
      </w:r>
      <w:r>
        <w:rPr>
          <w:color w:val="000000"/>
        </w:rPr>
        <w:t xml:space="preserve"> compares the</w:t>
      </w:r>
      <w:r w:rsidR="00F60132">
        <w:rPr>
          <w:color w:val="000000"/>
        </w:rPr>
        <w:t xml:space="preserve"> actions </w:t>
      </w:r>
      <w:r>
        <w:rPr>
          <w:color w:val="000000"/>
        </w:rPr>
        <w:t>of</w:t>
      </w:r>
      <w:r w:rsidR="00F60132">
        <w:rPr>
          <w:color w:val="000000"/>
        </w:rPr>
        <w:t xml:space="preserve"> the respective agents across the different publication strategies available </w:t>
      </w:r>
      <w:r w:rsidR="00D77D9D">
        <w:rPr>
          <w:color w:val="000000"/>
        </w:rPr>
        <w:t xml:space="preserve">to authors </w:t>
      </w:r>
      <w:r w:rsidR="00F60132">
        <w:rPr>
          <w:color w:val="000000"/>
        </w:rPr>
        <w:t xml:space="preserve">in the late eighteenth-century. </w:t>
      </w:r>
      <w:r w:rsidR="00F65C57">
        <w:rPr>
          <w:color w:val="000000"/>
        </w:rPr>
        <w:t>(Note: i</w:t>
      </w:r>
      <w:r w:rsidR="00F65C57">
        <w:rPr>
          <w:color w:val="000000"/>
        </w:rPr>
        <w:t>n this table, “publisher” in the late eighteenth-century usage refers to the entity traditionally responsible for finance, wholesale, and possibly retail</w:t>
      </w:r>
      <w:r w:rsidR="00F65C57">
        <w:rPr>
          <w:color w:val="000000"/>
        </w:rPr>
        <w:t>).</w:t>
      </w:r>
      <w:r w:rsidR="00F65C57">
        <w:rPr>
          <w:rStyle w:val="EndnoteReference"/>
          <w:color w:val="000000"/>
        </w:rPr>
        <w:endnoteReference w:id="5"/>
      </w:r>
      <w:r w:rsidR="00F65C57">
        <w:rPr>
          <w:color w:val="000000"/>
        </w:rPr>
        <w:t xml:space="preserve"> </w:t>
      </w:r>
      <w:r w:rsidR="00F65C57">
        <w:t xml:space="preserve">If an author did not sell her copyright, it is likely that she participated in one or more publishing </w:t>
      </w:r>
      <w:r w:rsidR="00F65C57">
        <w:lastRenderedPageBreak/>
        <w:t>activity.</w:t>
      </w:r>
      <w:r w:rsidR="0036354C">
        <w:rPr>
          <w:color w:val="000000"/>
        </w:rPr>
        <w:t xml:space="preserve"> </w:t>
      </w:r>
      <w:r w:rsidR="00F60132">
        <w:rPr>
          <w:color w:val="000000"/>
        </w:rPr>
        <w:t xml:space="preserve">This table </w:t>
      </w:r>
      <w:r w:rsidR="00D77D9D">
        <w:rPr>
          <w:color w:val="000000"/>
        </w:rPr>
        <w:t>shows</w:t>
      </w:r>
      <w:r w:rsidR="00F60132">
        <w:rPr>
          <w:color w:val="000000"/>
        </w:rPr>
        <w:t xml:space="preserve"> each situation in which the author, as expressed in bold </w:t>
      </w:r>
      <w:r w:rsidR="00D77D9D">
        <w:rPr>
          <w:color w:val="000000"/>
        </w:rPr>
        <w:t>type</w:t>
      </w:r>
      <w:r w:rsidR="00F60132">
        <w:rPr>
          <w:color w:val="000000"/>
        </w:rPr>
        <w:t xml:space="preserve">, </w:t>
      </w:r>
      <w:r w:rsidR="00F60132" w:rsidRPr="00D77D9D">
        <w:rPr>
          <w:i/>
          <w:iCs/>
          <w:color w:val="000000"/>
        </w:rPr>
        <w:t>may</w:t>
      </w:r>
      <w:r w:rsidR="00F60132">
        <w:rPr>
          <w:color w:val="000000"/>
        </w:rPr>
        <w:t xml:space="preserve"> have performed extra-compositional labor</w:t>
      </w:r>
      <w:r>
        <w:rPr>
          <w:color w:val="000000"/>
        </w:rPr>
        <w:t>, such as providing paper, distributing their printed book, or selling their book. Any publication scheme that requires authorial labor or involvement</w:t>
      </w:r>
      <w:r w:rsidR="00F60132">
        <w:t xml:space="preserve"> The publications schemes that qualify as author-facilitated publication, or AFP, are marked in light grey, below.</w:t>
      </w:r>
    </w:p>
    <w:p w14:paraId="3539D931" w14:textId="074DF69C" w:rsidR="00F60132" w:rsidRDefault="00F60132" w:rsidP="00F60132">
      <w:pPr>
        <w:rPr>
          <w:color w:val="000000"/>
        </w:rPr>
      </w:pPr>
    </w:p>
    <w:p w14:paraId="267E530A" w14:textId="2AF7935F" w:rsidR="00F60132" w:rsidRPr="00D01936" w:rsidRDefault="00F60132" w:rsidP="00F60132">
      <w:pPr>
        <w:pStyle w:val="Caption"/>
        <w:keepNext/>
        <w:rPr>
          <w:sz w:val="28"/>
          <w:szCs w:val="28"/>
        </w:rPr>
      </w:pPr>
      <w:r w:rsidRPr="00BF5360">
        <w:rPr>
          <w:sz w:val="28"/>
          <w:szCs w:val="28"/>
        </w:rPr>
        <w:t xml:space="preserve">Table </w:t>
      </w:r>
      <w:r w:rsidR="00D77D9D">
        <w:rPr>
          <w:sz w:val="28"/>
          <w:szCs w:val="28"/>
        </w:rPr>
        <w:t>1</w:t>
      </w:r>
      <w:r w:rsidRPr="00BF5360">
        <w:rPr>
          <w:sz w:val="28"/>
          <w:szCs w:val="28"/>
        </w:rPr>
        <w:t>: Agents in Late Eighteenth-Century Publication Schemes</w:t>
      </w:r>
      <w:r>
        <w:rPr>
          <w:sz w:val="28"/>
          <w:szCs w:val="28"/>
        </w:rPr>
        <w:t xml:space="preserve"> </w:t>
      </w:r>
      <w:r>
        <w:rPr>
          <w:rStyle w:val="EndnoteReference"/>
          <w:sz w:val="28"/>
          <w:szCs w:val="28"/>
        </w:rPr>
        <w:endnoteReference w:id="6"/>
      </w:r>
    </w:p>
    <w:tbl>
      <w:tblPr>
        <w:tblStyle w:val="TableGrid"/>
        <w:tblW w:w="11160" w:type="dxa"/>
        <w:tblInd w:w="-725" w:type="dxa"/>
        <w:tblLayout w:type="fixed"/>
        <w:tblLook w:val="04A0" w:firstRow="1" w:lastRow="0" w:firstColumn="1" w:lastColumn="0" w:noHBand="0" w:noVBand="1"/>
      </w:tblPr>
      <w:tblGrid>
        <w:gridCol w:w="450"/>
        <w:gridCol w:w="1350"/>
        <w:gridCol w:w="1170"/>
        <w:gridCol w:w="990"/>
        <w:gridCol w:w="990"/>
        <w:gridCol w:w="1080"/>
        <w:gridCol w:w="1260"/>
        <w:gridCol w:w="1440"/>
        <w:gridCol w:w="1080"/>
        <w:gridCol w:w="1350"/>
      </w:tblGrid>
      <w:tr w:rsidR="00F60132" w14:paraId="07B24D36" w14:textId="77777777" w:rsidTr="002E042B">
        <w:trPr>
          <w:trHeight w:val="305"/>
        </w:trPr>
        <w:tc>
          <w:tcPr>
            <w:tcW w:w="450" w:type="dxa"/>
          </w:tcPr>
          <w:p w14:paraId="57447169" w14:textId="77777777" w:rsidR="00F60132" w:rsidRPr="00F60132" w:rsidRDefault="00F60132" w:rsidP="00F60132">
            <w:pPr>
              <w:autoSpaceDE w:val="0"/>
              <w:autoSpaceDN w:val="0"/>
              <w:adjustRightInd w:val="0"/>
              <w:contextualSpacing/>
              <w:rPr>
                <w:rFonts w:cs="Times New Roman"/>
                <w:color w:val="000000"/>
                <w:sz w:val="20"/>
                <w:szCs w:val="20"/>
              </w:rPr>
            </w:pPr>
          </w:p>
        </w:tc>
        <w:tc>
          <w:tcPr>
            <w:tcW w:w="1350" w:type="dxa"/>
          </w:tcPr>
          <w:p w14:paraId="77BFAD9F" w14:textId="77777777" w:rsidR="00F60132" w:rsidRPr="00F60132" w:rsidRDefault="00F60132" w:rsidP="00F60132">
            <w:pPr>
              <w:autoSpaceDE w:val="0"/>
              <w:autoSpaceDN w:val="0"/>
              <w:adjustRightInd w:val="0"/>
              <w:contextualSpacing/>
              <w:jc w:val="center"/>
              <w:rPr>
                <w:rFonts w:cs="Times New Roman"/>
                <w:b/>
                <w:bCs/>
                <w:color w:val="000000"/>
                <w:sz w:val="28"/>
                <w:szCs w:val="28"/>
              </w:rPr>
            </w:pPr>
          </w:p>
        </w:tc>
        <w:tc>
          <w:tcPr>
            <w:tcW w:w="9360" w:type="dxa"/>
            <w:gridSpan w:val="8"/>
          </w:tcPr>
          <w:p w14:paraId="0F749CDC" w14:textId="77777777" w:rsidR="00F60132" w:rsidRPr="00F60132" w:rsidRDefault="00F60132" w:rsidP="00F60132">
            <w:pPr>
              <w:autoSpaceDE w:val="0"/>
              <w:autoSpaceDN w:val="0"/>
              <w:adjustRightInd w:val="0"/>
              <w:contextualSpacing/>
              <w:jc w:val="center"/>
              <w:rPr>
                <w:rFonts w:cs="Times New Roman"/>
                <w:b/>
                <w:bCs/>
                <w:color w:val="000000"/>
                <w:sz w:val="28"/>
                <w:szCs w:val="28"/>
              </w:rPr>
            </w:pPr>
            <w:r w:rsidRPr="00F60132">
              <w:rPr>
                <w:rFonts w:cs="Times New Roman"/>
                <w:b/>
                <w:bCs/>
                <w:color w:val="000000"/>
                <w:sz w:val="28"/>
                <w:szCs w:val="28"/>
              </w:rPr>
              <w:t>Action</w:t>
            </w:r>
          </w:p>
        </w:tc>
      </w:tr>
      <w:tr w:rsidR="00F60132" w14:paraId="467E73F2" w14:textId="77777777" w:rsidTr="002E042B">
        <w:trPr>
          <w:trHeight w:val="827"/>
        </w:trPr>
        <w:tc>
          <w:tcPr>
            <w:tcW w:w="450" w:type="dxa"/>
            <w:vMerge w:val="restart"/>
            <w:textDirection w:val="btLr"/>
          </w:tcPr>
          <w:p w14:paraId="5E48C750" w14:textId="77777777" w:rsidR="00F60132" w:rsidRPr="00F60132" w:rsidRDefault="00F60132" w:rsidP="00F60132">
            <w:pPr>
              <w:autoSpaceDE w:val="0"/>
              <w:autoSpaceDN w:val="0"/>
              <w:adjustRightInd w:val="0"/>
              <w:ind w:left="113" w:right="113"/>
              <w:contextualSpacing/>
              <w:jc w:val="center"/>
              <w:rPr>
                <w:rFonts w:cs="Times New Roman"/>
                <w:b/>
                <w:bCs/>
                <w:color w:val="000000"/>
                <w:sz w:val="28"/>
                <w:szCs w:val="28"/>
              </w:rPr>
            </w:pPr>
            <w:r w:rsidRPr="00F60132">
              <w:rPr>
                <w:rFonts w:cs="Times New Roman"/>
                <w:b/>
                <w:bCs/>
                <w:color w:val="000000"/>
                <w:sz w:val="28"/>
                <w:szCs w:val="28"/>
              </w:rPr>
              <w:t>Publication Scheme</w:t>
            </w:r>
          </w:p>
        </w:tc>
        <w:tc>
          <w:tcPr>
            <w:tcW w:w="1350" w:type="dxa"/>
            <w:vAlign w:val="center"/>
          </w:tcPr>
          <w:p w14:paraId="291338D5" w14:textId="77777777" w:rsidR="00F60132" w:rsidRPr="00F60132" w:rsidRDefault="00F60132" w:rsidP="00F60132">
            <w:pPr>
              <w:autoSpaceDE w:val="0"/>
              <w:autoSpaceDN w:val="0"/>
              <w:adjustRightInd w:val="0"/>
              <w:contextualSpacing/>
              <w:jc w:val="center"/>
              <w:rPr>
                <w:rFonts w:cs="Times New Roman"/>
                <w:color w:val="000000"/>
                <w:sz w:val="20"/>
                <w:szCs w:val="20"/>
              </w:rPr>
            </w:pPr>
          </w:p>
        </w:tc>
        <w:tc>
          <w:tcPr>
            <w:tcW w:w="1170" w:type="dxa"/>
            <w:vAlign w:val="center"/>
          </w:tcPr>
          <w:p w14:paraId="61780504"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 xml:space="preserve">Provides Initial Capital </w:t>
            </w:r>
          </w:p>
        </w:tc>
        <w:tc>
          <w:tcPr>
            <w:tcW w:w="990" w:type="dxa"/>
            <w:vAlign w:val="center"/>
          </w:tcPr>
          <w:p w14:paraId="546548C9"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Provides Paper</w:t>
            </w:r>
          </w:p>
        </w:tc>
        <w:tc>
          <w:tcPr>
            <w:tcW w:w="990" w:type="dxa"/>
            <w:vAlign w:val="center"/>
          </w:tcPr>
          <w:p w14:paraId="4CA63B28"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Oversees Printing</w:t>
            </w:r>
          </w:p>
        </w:tc>
        <w:tc>
          <w:tcPr>
            <w:tcW w:w="1080" w:type="dxa"/>
            <w:vAlign w:val="center"/>
          </w:tcPr>
          <w:p w14:paraId="20385C34"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Printing</w:t>
            </w:r>
            <w:r w:rsidRPr="00F60132">
              <w:rPr>
                <w:rStyle w:val="EndnoteReference"/>
                <w:rFonts w:cs="Times New Roman"/>
                <w:b/>
                <w:bCs/>
                <w:color w:val="000000"/>
                <w:sz w:val="20"/>
                <w:szCs w:val="20"/>
              </w:rPr>
              <w:endnoteReference w:id="7"/>
            </w:r>
          </w:p>
        </w:tc>
        <w:tc>
          <w:tcPr>
            <w:tcW w:w="1260" w:type="dxa"/>
            <w:vAlign w:val="center"/>
          </w:tcPr>
          <w:p w14:paraId="2D35F53C"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Distributes Product</w:t>
            </w:r>
          </w:p>
        </w:tc>
        <w:tc>
          <w:tcPr>
            <w:tcW w:w="1440" w:type="dxa"/>
            <w:vAlign w:val="center"/>
          </w:tcPr>
          <w:p w14:paraId="0A0DB712"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Sells Product</w:t>
            </w:r>
          </w:p>
        </w:tc>
        <w:tc>
          <w:tcPr>
            <w:tcW w:w="1080" w:type="dxa"/>
            <w:vAlign w:val="center"/>
          </w:tcPr>
          <w:p w14:paraId="4B34F0D3"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Receives Profits</w:t>
            </w:r>
          </w:p>
        </w:tc>
        <w:tc>
          <w:tcPr>
            <w:tcW w:w="1350" w:type="dxa"/>
            <w:vAlign w:val="center"/>
          </w:tcPr>
          <w:p w14:paraId="4907ACD6"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Covers Expenses if costs not met</w:t>
            </w:r>
          </w:p>
        </w:tc>
      </w:tr>
      <w:tr w:rsidR="00F60132" w14:paraId="623AB5B3" w14:textId="77777777" w:rsidTr="002E042B">
        <w:tc>
          <w:tcPr>
            <w:tcW w:w="450" w:type="dxa"/>
            <w:vMerge/>
          </w:tcPr>
          <w:p w14:paraId="7C32DB75" w14:textId="77777777" w:rsidR="00F60132" w:rsidRPr="00F60132" w:rsidRDefault="00F60132" w:rsidP="00F60132">
            <w:pPr>
              <w:autoSpaceDE w:val="0"/>
              <w:autoSpaceDN w:val="0"/>
              <w:adjustRightInd w:val="0"/>
              <w:contextualSpacing/>
              <w:rPr>
                <w:rFonts w:cs="Times New Roman"/>
                <w:b/>
                <w:bCs/>
                <w:color w:val="000000"/>
                <w:sz w:val="20"/>
                <w:szCs w:val="20"/>
              </w:rPr>
            </w:pPr>
          </w:p>
        </w:tc>
        <w:tc>
          <w:tcPr>
            <w:tcW w:w="1350" w:type="dxa"/>
            <w:vAlign w:val="center"/>
          </w:tcPr>
          <w:p w14:paraId="461A21D2"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Limited Copyright</w:t>
            </w:r>
          </w:p>
        </w:tc>
        <w:tc>
          <w:tcPr>
            <w:tcW w:w="1170" w:type="dxa"/>
            <w:vAlign w:val="center"/>
          </w:tcPr>
          <w:p w14:paraId="73905B1D"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vAlign w:val="center"/>
          </w:tcPr>
          <w:p w14:paraId="040461F9"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vAlign w:val="center"/>
          </w:tcPr>
          <w:p w14:paraId="372F3971"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1080" w:type="dxa"/>
            <w:vAlign w:val="center"/>
          </w:tcPr>
          <w:p w14:paraId="29BB6F6E"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Printer</w:t>
            </w:r>
          </w:p>
        </w:tc>
        <w:tc>
          <w:tcPr>
            <w:tcW w:w="1260" w:type="dxa"/>
            <w:vAlign w:val="center"/>
          </w:tcPr>
          <w:p w14:paraId="16AE9E76"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p w14:paraId="4401E3FE"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bookseller</w:t>
            </w:r>
          </w:p>
        </w:tc>
        <w:tc>
          <w:tcPr>
            <w:tcW w:w="1440" w:type="dxa"/>
            <w:vAlign w:val="center"/>
          </w:tcPr>
          <w:p w14:paraId="179459EC"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 bookseller</w:t>
            </w:r>
          </w:p>
        </w:tc>
        <w:tc>
          <w:tcPr>
            <w:tcW w:w="1080" w:type="dxa"/>
            <w:vAlign w:val="center"/>
          </w:tcPr>
          <w:p w14:paraId="314A73A0"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 (</w:t>
            </w:r>
            <w:r w:rsidRPr="00F60132">
              <w:rPr>
                <w:rFonts w:cs="Times New Roman"/>
                <w:b/>
                <w:bCs/>
                <w:color w:val="000000"/>
                <w:sz w:val="20"/>
                <w:szCs w:val="20"/>
              </w:rPr>
              <w:t>Author</w:t>
            </w:r>
            <w:r w:rsidRPr="00F60132">
              <w:rPr>
                <w:rFonts w:cs="Times New Roman"/>
                <w:color w:val="000000"/>
                <w:sz w:val="20"/>
                <w:szCs w:val="20"/>
              </w:rPr>
              <w:t xml:space="preserve"> receives one-time money for selling copyright)</w:t>
            </w:r>
          </w:p>
        </w:tc>
        <w:tc>
          <w:tcPr>
            <w:tcW w:w="1350" w:type="dxa"/>
            <w:vAlign w:val="center"/>
          </w:tcPr>
          <w:p w14:paraId="10428025"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r>
      <w:tr w:rsidR="00F60132" w14:paraId="59264776" w14:textId="77777777" w:rsidTr="00D77D9D">
        <w:tc>
          <w:tcPr>
            <w:tcW w:w="450" w:type="dxa"/>
            <w:vMerge/>
          </w:tcPr>
          <w:p w14:paraId="01597EF4" w14:textId="77777777" w:rsidR="00F60132" w:rsidRPr="00F60132" w:rsidRDefault="00F60132" w:rsidP="00F60132">
            <w:pPr>
              <w:autoSpaceDE w:val="0"/>
              <w:autoSpaceDN w:val="0"/>
              <w:adjustRightInd w:val="0"/>
              <w:contextualSpacing/>
              <w:rPr>
                <w:rFonts w:cs="Times New Roman"/>
                <w:b/>
                <w:bCs/>
                <w:color w:val="000000"/>
                <w:sz w:val="20"/>
                <w:szCs w:val="20"/>
              </w:rPr>
            </w:pPr>
          </w:p>
        </w:tc>
        <w:tc>
          <w:tcPr>
            <w:tcW w:w="1350" w:type="dxa"/>
            <w:shd w:val="clear" w:color="auto" w:fill="E7E6E6" w:themeFill="background2"/>
            <w:vAlign w:val="center"/>
          </w:tcPr>
          <w:p w14:paraId="616811D5"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 xml:space="preserve">On Commission; </w:t>
            </w:r>
            <w:r w:rsidRPr="00F60132">
              <w:rPr>
                <w:rFonts w:cs="Times New Roman"/>
                <w:b/>
                <w:bCs/>
                <w:color w:val="000000"/>
                <w:sz w:val="20"/>
                <w:szCs w:val="20"/>
                <w:highlight w:val="yellow"/>
              </w:rPr>
              <w:t>“author’s own risk”</w:t>
            </w:r>
            <w:r w:rsidRPr="00F60132">
              <w:rPr>
                <w:rStyle w:val="EndnoteReference"/>
                <w:rFonts w:cs="Times New Roman"/>
                <w:b/>
                <w:bCs/>
                <w:color w:val="000000"/>
                <w:sz w:val="20"/>
                <w:szCs w:val="20"/>
                <w:highlight w:val="yellow"/>
              </w:rPr>
              <w:endnoteReference w:id="8"/>
            </w:r>
          </w:p>
        </w:tc>
        <w:tc>
          <w:tcPr>
            <w:tcW w:w="1170" w:type="dxa"/>
            <w:shd w:val="clear" w:color="auto" w:fill="E7E6E6" w:themeFill="background2"/>
            <w:vAlign w:val="center"/>
          </w:tcPr>
          <w:p w14:paraId="70810540"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shd w:val="clear" w:color="auto" w:fill="E7E6E6" w:themeFill="background2"/>
            <w:vAlign w:val="center"/>
          </w:tcPr>
          <w:p w14:paraId="20B34AA2"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shd w:val="clear" w:color="auto" w:fill="E7E6E6" w:themeFill="background2"/>
            <w:vAlign w:val="center"/>
          </w:tcPr>
          <w:p w14:paraId="1942EF5D"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1080" w:type="dxa"/>
            <w:shd w:val="clear" w:color="auto" w:fill="E7E6E6" w:themeFill="background2"/>
            <w:vAlign w:val="center"/>
          </w:tcPr>
          <w:p w14:paraId="37E57357"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Printer</w:t>
            </w:r>
          </w:p>
        </w:tc>
        <w:tc>
          <w:tcPr>
            <w:tcW w:w="1260" w:type="dxa"/>
            <w:shd w:val="clear" w:color="auto" w:fill="E7E6E6" w:themeFill="background2"/>
            <w:vAlign w:val="center"/>
          </w:tcPr>
          <w:p w14:paraId="78869F0D"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 bookseller</w:t>
            </w:r>
          </w:p>
        </w:tc>
        <w:tc>
          <w:tcPr>
            <w:tcW w:w="1440" w:type="dxa"/>
            <w:shd w:val="clear" w:color="auto" w:fill="E7E6E6" w:themeFill="background2"/>
            <w:vAlign w:val="center"/>
          </w:tcPr>
          <w:p w14:paraId="5F90BCBE"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 xml:space="preserve">Publisher/ bookseller/ </w:t>
            </w:r>
            <w:r w:rsidRPr="00F60132">
              <w:rPr>
                <w:rFonts w:cs="Times New Roman"/>
                <w:b/>
                <w:bCs/>
                <w:color w:val="000000"/>
                <w:sz w:val="20"/>
                <w:szCs w:val="20"/>
              </w:rPr>
              <w:t>Author</w:t>
            </w:r>
          </w:p>
        </w:tc>
        <w:tc>
          <w:tcPr>
            <w:tcW w:w="1080" w:type="dxa"/>
            <w:shd w:val="clear" w:color="auto" w:fill="E7E6E6" w:themeFill="background2"/>
            <w:vAlign w:val="center"/>
          </w:tcPr>
          <w:p w14:paraId="4EA5AB26" w14:textId="77777777" w:rsidR="00F60132" w:rsidRPr="00D77D9D" w:rsidRDefault="00F60132" w:rsidP="00F60132">
            <w:pPr>
              <w:autoSpaceDE w:val="0"/>
              <w:autoSpaceDN w:val="0"/>
              <w:adjustRightInd w:val="0"/>
              <w:contextualSpacing/>
              <w:jc w:val="center"/>
              <w:rPr>
                <w:rFonts w:cs="Times New Roman"/>
                <w:color w:val="000000"/>
                <w:sz w:val="20"/>
                <w:szCs w:val="20"/>
              </w:rPr>
            </w:pPr>
            <w:r w:rsidRPr="00D77D9D">
              <w:rPr>
                <w:rFonts w:cs="Times New Roman"/>
                <w:color w:val="000000"/>
                <w:sz w:val="20"/>
                <w:szCs w:val="20"/>
              </w:rPr>
              <w:t xml:space="preserve">% </w:t>
            </w:r>
            <w:proofErr w:type="gramStart"/>
            <w:r w:rsidRPr="00D77D9D">
              <w:rPr>
                <w:rFonts w:cs="Times New Roman"/>
                <w:color w:val="000000"/>
                <w:sz w:val="20"/>
                <w:szCs w:val="20"/>
              </w:rPr>
              <w:t>of</w:t>
            </w:r>
            <w:proofErr w:type="gramEnd"/>
            <w:r w:rsidRPr="00D77D9D">
              <w:rPr>
                <w:rFonts w:cs="Times New Roman"/>
                <w:color w:val="000000"/>
                <w:sz w:val="20"/>
                <w:szCs w:val="20"/>
              </w:rPr>
              <w:t xml:space="preserve"> wholesale price to publisher (usually 10%), and Author</w:t>
            </w:r>
          </w:p>
        </w:tc>
        <w:tc>
          <w:tcPr>
            <w:tcW w:w="1350" w:type="dxa"/>
            <w:shd w:val="clear" w:color="auto" w:fill="E7E6E6" w:themeFill="background2"/>
            <w:vAlign w:val="center"/>
          </w:tcPr>
          <w:p w14:paraId="44A3C0BF"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 xml:space="preserve">Publisher/ </w:t>
            </w:r>
            <w:r w:rsidRPr="00F60132">
              <w:rPr>
                <w:rFonts w:cs="Times New Roman"/>
                <w:b/>
                <w:bCs/>
                <w:color w:val="000000"/>
                <w:sz w:val="20"/>
                <w:szCs w:val="20"/>
                <w:highlight w:val="yellow"/>
              </w:rPr>
              <w:t>Author</w:t>
            </w:r>
            <w:r w:rsidRPr="00F60132">
              <w:rPr>
                <w:rFonts w:cs="Times New Roman"/>
                <w:color w:val="000000"/>
                <w:sz w:val="20"/>
                <w:szCs w:val="20"/>
                <w:highlight w:val="yellow"/>
              </w:rPr>
              <w:t xml:space="preserve"> </w:t>
            </w:r>
          </w:p>
        </w:tc>
      </w:tr>
      <w:tr w:rsidR="00F60132" w14:paraId="2772A104" w14:textId="77777777" w:rsidTr="00D77D9D">
        <w:tc>
          <w:tcPr>
            <w:tcW w:w="450" w:type="dxa"/>
            <w:vMerge/>
          </w:tcPr>
          <w:p w14:paraId="2C905F2C" w14:textId="77777777" w:rsidR="00F60132" w:rsidRPr="00F60132" w:rsidRDefault="00F60132" w:rsidP="00F60132">
            <w:pPr>
              <w:autoSpaceDE w:val="0"/>
              <w:autoSpaceDN w:val="0"/>
              <w:adjustRightInd w:val="0"/>
              <w:contextualSpacing/>
              <w:rPr>
                <w:rFonts w:cs="Times New Roman"/>
                <w:b/>
                <w:bCs/>
                <w:color w:val="000000"/>
                <w:sz w:val="20"/>
                <w:szCs w:val="20"/>
              </w:rPr>
            </w:pPr>
          </w:p>
        </w:tc>
        <w:tc>
          <w:tcPr>
            <w:tcW w:w="1350" w:type="dxa"/>
            <w:shd w:val="clear" w:color="auto" w:fill="E7E6E6" w:themeFill="background2"/>
            <w:vAlign w:val="center"/>
          </w:tcPr>
          <w:p w14:paraId="399FE4A4"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Profit-Sharing</w:t>
            </w:r>
            <w:r w:rsidRPr="00F60132">
              <w:rPr>
                <w:rStyle w:val="EndnoteReference"/>
                <w:rFonts w:cs="Times New Roman"/>
                <w:b/>
                <w:bCs/>
                <w:color w:val="000000"/>
                <w:sz w:val="20"/>
                <w:szCs w:val="20"/>
              </w:rPr>
              <w:endnoteReference w:id="9"/>
            </w:r>
          </w:p>
        </w:tc>
        <w:tc>
          <w:tcPr>
            <w:tcW w:w="1170" w:type="dxa"/>
            <w:shd w:val="clear" w:color="auto" w:fill="E7E6E6" w:themeFill="background2"/>
            <w:vAlign w:val="center"/>
          </w:tcPr>
          <w:p w14:paraId="46133042"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shd w:val="clear" w:color="auto" w:fill="E7E6E6" w:themeFill="background2"/>
            <w:vAlign w:val="center"/>
          </w:tcPr>
          <w:p w14:paraId="692F3528"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shd w:val="clear" w:color="auto" w:fill="E7E6E6" w:themeFill="background2"/>
            <w:vAlign w:val="center"/>
          </w:tcPr>
          <w:p w14:paraId="53172FEC"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1080" w:type="dxa"/>
            <w:shd w:val="clear" w:color="auto" w:fill="E7E6E6" w:themeFill="background2"/>
            <w:vAlign w:val="center"/>
          </w:tcPr>
          <w:p w14:paraId="3B965C42"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Printer</w:t>
            </w:r>
          </w:p>
        </w:tc>
        <w:tc>
          <w:tcPr>
            <w:tcW w:w="1260" w:type="dxa"/>
            <w:shd w:val="clear" w:color="auto" w:fill="E7E6E6" w:themeFill="background2"/>
            <w:vAlign w:val="center"/>
          </w:tcPr>
          <w:p w14:paraId="125E1C8E"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 bookseller</w:t>
            </w:r>
          </w:p>
        </w:tc>
        <w:tc>
          <w:tcPr>
            <w:tcW w:w="1440" w:type="dxa"/>
            <w:shd w:val="clear" w:color="auto" w:fill="E7E6E6" w:themeFill="background2"/>
            <w:vAlign w:val="center"/>
          </w:tcPr>
          <w:p w14:paraId="3F7A3F7D"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 xml:space="preserve">Publisher/ bookseller/ </w:t>
            </w:r>
            <w:r w:rsidRPr="00F60132">
              <w:rPr>
                <w:rFonts w:cs="Times New Roman"/>
                <w:b/>
                <w:bCs/>
                <w:color w:val="000000"/>
                <w:sz w:val="20"/>
                <w:szCs w:val="20"/>
              </w:rPr>
              <w:t>Author</w:t>
            </w:r>
          </w:p>
        </w:tc>
        <w:tc>
          <w:tcPr>
            <w:tcW w:w="1080" w:type="dxa"/>
            <w:shd w:val="clear" w:color="auto" w:fill="E7E6E6" w:themeFill="background2"/>
            <w:vAlign w:val="center"/>
          </w:tcPr>
          <w:p w14:paraId="4FE27853" w14:textId="77777777" w:rsidR="00F60132" w:rsidRPr="00D77D9D" w:rsidRDefault="00F60132" w:rsidP="00F60132">
            <w:pPr>
              <w:autoSpaceDE w:val="0"/>
              <w:autoSpaceDN w:val="0"/>
              <w:adjustRightInd w:val="0"/>
              <w:contextualSpacing/>
              <w:jc w:val="center"/>
              <w:rPr>
                <w:rFonts w:cs="Times New Roman"/>
                <w:color w:val="000000"/>
                <w:sz w:val="20"/>
                <w:szCs w:val="20"/>
              </w:rPr>
            </w:pPr>
            <w:r w:rsidRPr="00D77D9D">
              <w:rPr>
                <w:rFonts w:cs="Times New Roman"/>
                <w:color w:val="000000"/>
                <w:sz w:val="20"/>
                <w:szCs w:val="20"/>
              </w:rPr>
              <w:t>Author and publisher</w:t>
            </w:r>
          </w:p>
        </w:tc>
        <w:tc>
          <w:tcPr>
            <w:tcW w:w="1350" w:type="dxa"/>
            <w:shd w:val="clear" w:color="auto" w:fill="E7E6E6" w:themeFill="background2"/>
            <w:vAlign w:val="center"/>
          </w:tcPr>
          <w:p w14:paraId="3E2EE0CB"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r>
      <w:tr w:rsidR="00F60132" w14:paraId="1F84FDF4" w14:textId="77777777" w:rsidTr="00D77D9D">
        <w:trPr>
          <w:trHeight w:val="845"/>
        </w:trPr>
        <w:tc>
          <w:tcPr>
            <w:tcW w:w="450" w:type="dxa"/>
            <w:vMerge/>
          </w:tcPr>
          <w:p w14:paraId="7397E50D" w14:textId="77777777" w:rsidR="00F60132" w:rsidRPr="00F60132" w:rsidRDefault="00F60132" w:rsidP="00F60132">
            <w:pPr>
              <w:autoSpaceDE w:val="0"/>
              <w:autoSpaceDN w:val="0"/>
              <w:adjustRightInd w:val="0"/>
              <w:contextualSpacing/>
              <w:rPr>
                <w:rFonts w:cs="Times New Roman"/>
                <w:b/>
                <w:bCs/>
                <w:color w:val="000000"/>
                <w:sz w:val="20"/>
                <w:szCs w:val="20"/>
              </w:rPr>
            </w:pPr>
          </w:p>
        </w:tc>
        <w:tc>
          <w:tcPr>
            <w:tcW w:w="1350" w:type="dxa"/>
            <w:shd w:val="clear" w:color="auto" w:fill="E7E6E6" w:themeFill="background2"/>
            <w:vAlign w:val="center"/>
          </w:tcPr>
          <w:p w14:paraId="253B1252"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Subscription</w:t>
            </w:r>
          </w:p>
        </w:tc>
        <w:tc>
          <w:tcPr>
            <w:tcW w:w="1170" w:type="dxa"/>
            <w:shd w:val="clear" w:color="auto" w:fill="E7E6E6" w:themeFill="background2"/>
            <w:vAlign w:val="center"/>
          </w:tcPr>
          <w:p w14:paraId="663A8B29" w14:textId="77777777" w:rsidR="00F60132" w:rsidRPr="00F60132" w:rsidRDefault="00F60132" w:rsidP="00F60132">
            <w:pPr>
              <w:autoSpaceDE w:val="0"/>
              <w:autoSpaceDN w:val="0"/>
              <w:adjustRightInd w:val="0"/>
              <w:contextualSpacing/>
              <w:jc w:val="center"/>
              <w:rPr>
                <w:rFonts w:cs="Times New Roman"/>
                <w:color w:val="000000"/>
                <w:sz w:val="20"/>
                <w:szCs w:val="20"/>
              </w:rPr>
            </w:pPr>
            <w:proofErr w:type="gramStart"/>
            <w:r w:rsidRPr="00F60132">
              <w:rPr>
                <w:rFonts w:cs="Times New Roman"/>
                <w:color w:val="000000"/>
                <w:sz w:val="20"/>
                <w:szCs w:val="20"/>
              </w:rPr>
              <w:t>Subscribers;</w:t>
            </w:r>
            <w:proofErr w:type="gramEnd"/>
            <w:r w:rsidRPr="00F60132">
              <w:rPr>
                <w:rFonts w:cs="Times New Roman"/>
                <w:color w:val="000000"/>
                <w:sz w:val="20"/>
                <w:szCs w:val="20"/>
              </w:rPr>
              <w:t xml:space="preserve"> </w:t>
            </w:r>
            <w:r w:rsidRPr="00F60132">
              <w:rPr>
                <w:rFonts w:cs="Times New Roman"/>
                <w:b/>
                <w:bCs/>
                <w:color w:val="000000"/>
                <w:sz w:val="20"/>
                <w:szCs w:val="20"/>
              </w:rPr>
              <w:t>Author</w:t>
            </w:r>
            <w:r w:rsidRPr="00F60132">
              <w:rPr>
                <w:rFonts w:cs="Times New Roman"/>
                <w:color w:val="000000"/>
                <w:sz w:val="20"/>
                <w:szCs w:val="20"/>
              </w:rPr>
              <w:t xml:space="preserve"> must solicit</w:t>
            </w:r>
          </w:p>
        </w:tc>
        <w:tc>
          <w:tcPr>
            <w:tcW w:w="990" w:type="dxa"/>
            <w:shd w:val="clear" w:color="auto" w:fill="E7E6E6" w:themeFill="background2"/>
            <w:vAlign w:val="center"/>
          </w:tcPr>
          <w:p w14:paraId="6EF986A6"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990" w:type="dxa"/>
            <w:shd w:val="clear" w:color="auto" w:fill="E7E6E6" w:themeFill="background2"/>
            <w:vAlign w:val="center"/>
          </w:tcPr>
          <w:p w14:paraId="75AF7793"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Publisher</w:t>
            </w:r>
          </w:p>
        </w:tc>
        <w:tc>
          <w:tcPr>
            <w:tcW w:w="1080" w:type="dxa"/>
            <w:shd w:val="clear" w:color="auto" w:fill="E7E6E6" w:themeFill="background2"/>
            <w:vAlign w:val="center"/>
          </w:tcPr>
          <w:p w14:paraId="678B4A8C"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Printer</w:t>
            </w:r>
          </w:p>
        </w:tc>
        <w:tc>
          <w:tcPr>
            <w:tcW w:w="1260" w:type="dxa"/>
            <w:shd w:val="clear" w:color="auto" w:fill="E7E6E6" w:themeFill="background2"/>
            <w:vAlign w:val="center"/>
          </w:tcPr>
          <w:p w14:paraId="65B7B858"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b/>
                <w:bCs/>
                <w:color w:val="000000"/>
                <w:sz w:val="20"/>
                <w:szCs w:val="20"/>
              </w:rPr>
              <w:t>Author</w:t>
            </w:r>
            <w:r w:rsidRPr="00F60132">
              <w:rPr>
                <w:rFonts w:cs="Times New Roman"/>
                <w:color w:val="000000"/>
                <w:sz w:val="20"/>
                <w:szCs w:val="20"/>
              </w:rPr>
              <w:t>/ publisher/ bookseller</w:t>
            </w:r>
          </w:p>
        </w:tc>
        <w:tc>
          <w:tcPr>
            <w:tcW w:w="1440" w:type="dxa"/>
            <w:shd w:val="clear" w:color="auto" w:fill="E7E6E6" w:themeFill="background2"/>
            <w:vAlign w:val="center"/>
          </w:tcPr>
          <w:p w14:paraId="5427FFDA"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b/>
                <w:bCs/>
                <w:color w:val="000000"/>
                <w:sz w:val="20"/>
                <w:szCs w:val="20"/>
              </w:rPr>
              <w:t>Author</w:t>
            </w:r>
            <w:r w:rsidRPr="00F60132">
              <w:rPr>
                <w:rFonts w:cs="Times New Roman"/>
                <w:color w:val="000000"/>
                <w:sz w:val="20"/>
                <w:szCs w:val="20"/>
              </w:rPr>
              <w:t xml:space="preserve"> (subscriptions); sometimes booksellers</w:t>
            </w:r>
          </w:p>
        </w:tc>
        <w:tc>
          <w:tcPr>
            <w:tcW w:w="1080" w:type="dxa"/>
            <w:shd w:val="clear" w:color="auto" w:fill="E7E6E6" w:themeFill="background2"/>
            <w:vAlign w:val="center"/>
          </w:tcPr>
          <w:p w14:paraId="1D8F4004" w14:textId="77777777" w:rsidR="00F60132" w:rsidRPr="00D77D9D" w:rsidRDefault="00F60132" w:rsidP="00F60132">
            <w:pPr>
              <w:autoSpaceDE w:val="0"/>
              <w:autoSpaceDN w:val="0"/>
              <w:adjustRightInd w:val="0"/>
              <w:contextualSpacing/>
              <w:jc w:val="center"/>
              <w:rPr>
                <w:rFonts w:cs="Times New Roman"/>
                <w:color w:val="000000"/>
                <w:sz w:val="20"/>
                <w:szCs w:val="20"/>
              </w:rPr>
            </w:pPr>
            <w:r w:rsidRPr="00D77D9D">
              <w:rPr>
                <w:rFonts w:cs="Times New Roman"/>
                <w:color w:val="000000"/>
                <w:sz w:val="20"/>
                <w:szCs w:val="20"/>
              </w:rPr>
              <w:t>Author</w:t>
            </w:r>
          </w:p>
        </w:tc>
        <w:tc>
          <w:tcPr>
            <w:tcW w:w="1350" w:type="dxa"/>
            <w:shd w:val="clear" w:color="auto" w:fill="E7E6E6" w:themeFill="background2"/>
            <w:vAlign w:val="center"/>
          </w:tcPr>
          <w:p w14:paraId="1B97898F"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highlight w:val="yellow"/>
              </w:rPr>
              <w:t>Author</w:t>
            </w:r>
          </w:p>
        </w:tc>
      </w:tr>
      <w:tr w:rsidR="00F60132" w14:paraId="43D41525" w14:textId="77777777" w:rsidTr="00D77D9D">
        <w:trPr>
          <w:trHeight w:val="1232"/>
        </w:trPr>
        <w:tc>
          <w:tcPr>
            <w:tcW w:w="450" w:type="dxa"/>
            <w:vMerge/>
          </w:tcPr>
          <w:p w14:paraId="4C0F4CA9" w14:textId="77777777" w:rsidR="00F60132" w:rsidRPr="00F60132" w:rsidRDefault="00F60132" w:rsidP="00F60132">
            <w:pPr>
              <w:autoSpaceDE w:val="0"/>
              <w:autoSpaceDN w:val="0"/>
              <w:adjustRightInd w:val="0"/>
              <w:contextualSpacing/>
              <w:rPr>
                <w:rFonts w:cs="Times New Roman"/>
                <w:b/>
                <w:bCs/>
                <w:color w:val="000000"/>
                <w:sz w:val="20"/>
                <w:szCs w:val="20"/>
              </w:rPr>
            </w:pPr>
          </w:p>
        </w:tc>
        <w:tc>
          <w:tcPr>
            <w:tcW w:w="1350" w:type="dxa"/>
            <w:shd w:val="clear" w:color="auto" w:fill="E7E6E6" w:themeFill="background2"/>
            <w:vAlign w:val="center"/>
          </w:tcPr>
          <w:p w14:paraId="01FCD321"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Self-Publishing; “on account of the author”</w:t>
            </w:r>
            <w:r w:rsidRPr="00F60132">
              <w:rPr>
                <w:rStyle w:val="EndnoteReference"/>
                <w:rFonts w:cs="Times New Roman"/>
                <w:color w:val="000000"/>
                <w:sz w:val="20"/>
                <w:szCs w:val="20"/>
              </w:rPr>
              <w:endnoteReference w:id="10"/>
            </w:r>
          </w:p>
        </w:tc>
        <w:tc>
          <w:tcPr>
            <w:tcW w:w="1170" w:type="dxa"/>
            <w:shd w:val="clear" w:color="auto" w:fill="E7E6E6" w:themeFill="background2"/>
            <w:vAlign w:val="center"/>
          </w:tcPr>
          <w:p w14:paraId="5B3C4365"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Author</w:t>
            </w:r>
          </w:p>
        </w:tc>
        <w:tc>
          <w:tcPr>
            <w:tcW w:w="990" w:type="dxa"/>
            <w:shd w:val="clear" w:color="auto" w:fill="E7E6E6" w:themeFill="background2"/>
            <w:vAlign w:val="center"/>
          </w:tcPr>
          <w:p w14:paraId="31F2728E"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Author</w:t>
            </w:r>
          </w:p>
        </w:tc>
        <w:tc>
          <w:tcPr>
            <w:tcW w:w="990" w:type="dxa"/>
            <w:shd w:val="clear" w:color="auto" w:fill="E7E6E6" w:themeFill="background2"/>
            <w:vAlign w:val="center"/>
          </w:tcPr>
          <w:p w14:paraId="3D217B8A"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Author</w:t>
            </w:r>
          </w:p>
        </w:tc>
        <w:tc>
          <w:tcPr>
            <w:tcW w:w="1080" w:type="dxa"/>
            <w:shd w:val="clear" w:color="auto" w:fill="E7E6E6" w:themeFill="background2"/>
            <w:vAlign w:val="center"/>
          </w:tcPr>
          <w:p w14:paraId="488D41B0"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Printer</w:t>
            </w:r>
          </w:p>
        </w:tc>
        <w:tc>
          <w:tcPr>
            <w:tcW w:w="1260" w:type="dxa"/>
            <w:shd w:val="clear" w:color="auto" w:fill="E7E6E6" w:themeFill="background2"/>
            <w:vAlign w:val="center"/>
          </w:tcPr>
          <w:p w14:paraId="6E1DCDA2"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b/>
                <w:bCs/>
                <w:color w:val="000000"/>
                <w:sz w:val="20"/>
                <w:szCs w:val="20"/>
              </w:rPr>
              <w:t>Author</w:t>
            </w:r>
            <w:r w:rsidRPr="00F60132">
              <w:rPr>
                <w:rFonts w:cs="Times New Roman"/>
                <w:color w:val="000000"/>
                <w:sz w:val="20"/>
                <w:szCs w:val="20"/>
              </w:rPr>
              <w:t xml:space="preserve"> and printer</w:t>
            </w:r>
          </w:p>
        </w:tc>
        <w:tc>
          <w:tcPr>
            <w:tcW w:w="1440" w:type="dxa"/>
            <w:shd w:val="clear" w:color="auto" w:fill="E7E6E6" w:themeFill="background2"/>
            <w:vAlign w:val="center"/>
          </w:tcPr>
          <w:p w14:paraId="0866B1BF" w14:textId="77777777" w:rsidR="00F60132" w:rsidRPr="00F60132" w:rsidRDefault="00F60132" w:rsidP="00F60132">
            <w:pPr>
              <w:autoSpaceDE w:val="0"/>
              <w:autoSpaceDN w:val="0"/>
              <w:adjustRightInd w:val="0"/>
              <w:contextualSpacing/>
              <w:jc w:val="center"/>
              <w:rPr>
                <w:rFonts w:cs="Times New Roman"/>
                <w:color w:val="000000"/>
                <w:sz w:val="20"/>
                <w:szCs w:val="20"/>
              </w:rPr>
            </w:pPr>
            <w:r w:rsidRPr="00F60132">
              <w:rPr>
                <w:rFonts w:cs="Times New Roman"/>
                <w:color w:val="000000"/>
                <w:sz w:val="20"/>
                <w:szCs w:val="20"/>
              </w:rPr>
              <w:t xml:space="preserve">Primarily </w:t>
            </w:r>
            <w:r w:rsidRPr="00F60132">
              <w:rPr>
                <w:rFonts w:cs="Times New Roman"/>
                <w:b/>
                <w:bCs/>
                <w:color w:val="000000"/>
                <w:sz w:val="20"/>
                <w:szCs w:val="20"/>
              </w:rPr>
              <w:t>Author</w:t>
            </w:r>
            <w:r w:rsidRPr="00F60132">
              <w:rPr>
                <w:rFonts w:cs="Times New Roman"/>
                <w:color w:val="000000"/>
                <w:sz w:val="20"/>
                <w:szCs w:val="20"/>
              </w:rPr>
              <w:t xml:space="preserve"> and Printer; may </w:t>
            </w:r>
            <w:proofErr w:type="gramStart"/>
            <w:r w:rsidRPr="00F60132">
              <w:rPr>
                <w:rFonts w:cs="Times New Roman"/>
                <w:color w:val="000000"/>
                <w:sz w:val="20"/>
                <w:szCs w:val="20"/>
              </w:rPr>
              <w:t>make arrangements</w:t>
            </w:r>
            <w:proofErr w:type="gramEnd"/>
            <w:r w:rsidRPr="00F60132">
              <w:rPr>
                <w:rFonts w:cs="Times New Roman"/>
                <w:color w:val="000000"/>
                <w:sz w:val="20"/>
                <w:szCs w:val="20"/>
              </w:rPr>
              <w:t xml:space="preserve"> with bookseller</w:t>
            </w:r>
          </w:p>
        </w:tc>
        <w:tc>
          <w:tcPr>
            <w:tcW w:w="1080" w:type="dxa"/>
            <w:shd w:val="clear" w:color="auto" w:fill="E7E6E6" w:themeFill="background2"/>
            <w:vAlign w:val="center"/>
          </w:tcPr>
          <w:p w14:paraId="66BDA375" w14:textId="77777777" w:rsidR="00F60132" w:rsidRPr="00D77D9D" w:rsidRDefault="00F60132" w:rsidP="00F60132">
            <w:pPr>
              <w:autoSpaceDE w:val="0"/>
              <w:autoSpaceDN w:val="0"/>
              <w:adjustRightInd w:val="0"/>
              <w:contextualSpacing/>
              <w:jc w:val="center"/>
              <w:rPr>
                <w:rFonts w:cs="Times New Roman"/>
                <w:color w:val="000000"/>
                <w:sz w:val="20"/>
                <w:szCs w:val="20"/>
              </w:rPr>
            </w:pPr>
            <w:r w:rsidRPr="00D77D9D">
              <w:rPr>
                <w:rFonts w:cs="Times New Roman"/>
                <w:color w:val="000000"/>
                <w:sz w:val="20"/>
                <w:szCs w:val="20"/>
              </w:rPr>
              <w:t>Author</w:t>
            </w:r>
          </w:p>
        </w:tc>
        <w:tc>
          <w:tcPr>
            <w:tcW w:w="1350" w:type="dxa"/>
            <w:shd w:val="clear" w:color="auto" w:fill="E7E6E6" w:themeFill="background2"/>
            <w:vAlign w:val="center"/>
          </w:tcPr>
          <w:p w14:paraId="1434ACC1" w14:textId="77777777" w:rsidR="00F60132" w:rsidRPr="00F60132" w:rsidRDefault="00F60132" w:rsidP="00F60132">
            <w:pPr>
              <w:autoSpaceDE w:val="0"/>
              <w:autoSpaceDN w:val="0"/>
              <w:adjustRightInd w:val="0"/>
              <w:contextualSpacing/>
              <w:jc w:val="center"/>
              <w:rPr>
                <w:rFonts w:cs="Times New Roman"/>
                <w:b/>
                <w:bCs/>
                <w:color w:val="000000"/>
                <w:sz w:val="20"/>
                <w:szCs w:val="20"/>
              </w:rPr>
            </w:pPr>
            <w:r w:rsidRPr="00F60132">
              <w:rPr>
                <w:rFonts w:cs="Times New Roman"/>
                <w:b/>
                <w:bCs/>
                <w:color w:val="000000"/>
                <w:sz w:val="20"/>
                <w:szCs w:val="20"/>
              </w:rPr>
              <w:t>Author</w:t>
            </w:r>
          </w:p>
        </w:tc>
      </w:tr>
    </w:tbl>
    <w:p w14:paraId="54FA6EED" w14:textId="138D1E8E" w:rsidR="00F60132" w:rsidRDefault="0068166A" w:rsidP="00F60132">
      <w:r>
        <w:t>As with texts printed for the author, the author of</w:t>
      </w:r>
      <w:r w:rsidRPr="008F690E">
        <w:t xml:space="preserve"> texts published “on commission” is responsible for </w:t>
      </w:r>
      <w:r>
        <w:t xml:space="preserve">paying </w:t>
      </w:r>
      <w:r w:rsidRPr="008F690E">
        <w:t>the cost</w:t>
      </w:r>
      <w:r>
        <w:t>s</w:t>
      </w:r>
      <w:r w:rsidRPr="008F690E">
        <w:t xml:space="preserve"> of paper and printing</w:t>
      </w:r>
      <w:r>
        <w:t>. Subscription publication—wherein the cost of publication is fronted through “copies” sold before printing—requires legwork, including leveraging one’s social networks (and often those of friends and family), and soliciting the goodwill of strangers and social superiors.</w:t>
      </w:r>
    </w:p>
    <w:p w14:paraId="3A2F9277" w14:textId="77777777" w:rsidR="0068166A" w:rsidRDefault="0068166A" w:rsidP="0068166A">
      <w:pPr>
        <w:ind w:firstLine="720"/>
      </w:pPr>
      <w:r w:rsidRPr="002130CC">
        <w:t xml:space="preserve">In the absence of sufficient terminology to describe accurately and account for the author’s role beyond composition, </w:t>
      </w:r>
      <w:r w:rsidRPr="00740827">
        <w:t>author-facilitated publication</w:t>
      </w:r>
      <w:r w:rsidRPr="002130CC">
        <w:t xml:space="preserve"> emerges as a critical term to group together the various activities that counted as “publishing.” </w:t>
      </w:r>
      <w:r>
        <w:rPr>
          <w:color w:val="000000" w:themeColor="text1"/>
        </w:rPr>
        <w:t xml:space="preserve">Given the inclusive definition of author-facilitated publication, there are countless examples of novels, histories, biographies, poetry, essays, treatises, and more that could be drawn upon to evidence their authors’ labors, including a host of famous literary examples: Frances Burney published her </w:t>
      </w:r>
      <w:r>
        <w:rPr>
          <w:i/>
          <w:iCs/>
          <w:color w:val="000000" w:themeColor="text1"/>
        </w:rPr>
        <w:t>Camilla</w:t>
      </w:r>
      <w:r>
        <w:rPr>
          <w:color w:val="000000" w:themeColor="text1"/>
        </w:rPr>
        <w:t xml:space="preserve"> by </w:t>
      </w:r>
      <w:r>
        <w:rPr>
          <w:color w:val="000000" w:themeColor="text1"/>
        </w:rPr>
        <w:lastRenderedPageBreak/>
        <w:t xml:space="preserve">subscription, </w:t>
      </w:r>
      <w:r w:rsidRPr="00E612DD">
        <w:rPr>
          <w:color w:val="000000" w:themeColor="text1"/>
        </w:rPr>
        <w:t>Jane Austen</w:t>
      </w:r>
      <w:r>
        <w:rPr>
          <w:color w:val="000000" w:themeColor="text1"/>
        </w:rPr>
        <w:t xml:space="preserve"> </w:t>
      </w:r>
      <w:r w:rsidRPr="00E612DD">
        <w:rPr>
          <w:color w:val="000000" w:themeColor="text1"/>
        </w:rPr>
        <w:t xml:space="preserve">published </w:t>
      </w:r>
      <w:r>
        <w:rPr>
          <w:color w:val="000000" w:themeColor="text1"/>
        </w:rPr>
        <w:t xml:space="preserve">most of her novels </w:t>
      </w:r>
      <w:r w:rsidRPr="00E612DD">
        <w:rPr>
          <w:color w:val="000000" w:themeColor="text1"/>
        </w:rPr>
        <w:t>on commission</w:t>
      </w:r>
      <w:r>
        <w:rPr>
          <w:color w:val="000000" w:themeColor="text1"/>
        </w:rPr>
        <w:t xml:space="preserve">, and Alexander Pope self-financed the various ventures of his </w:t>
      </w:r>
      <w:r>
        <w:rPr>
          <w:i/>
          <w:iCs/>
          <w:color w:val="000000" w:themeColor="text1"/>
        </w:rPr>
        <w:t>Dunciad</w:t>
      </w:r>
      <w:r>
        <w:rPr>
          <w:color w:val="000000" w:themeColor="text1"/>
        </w:rPr>
        <w:t xml:space="preserve">. These names and examples are regularly paraded in discussions of self-publishing and publishing “for the author” of the eighteenth century. </w:t>
      </w:r>
      <w:r w:rsidRPr="00E612DD">
        <w:rPr>
          <w:color w:val="000000" w:themeColor="text1"/>
        </w:rPr>
        <w:t xml:space="preserve">But too often, when these canonical names are deployed supposedly to salvage </w:t>
      </w:r>
      <w:r>
        <w:rPr>
          <w:color w:val="000000" w:themeColor="text1"/>
        </w:rPr>
        <w:t xml:space="preserve">or recontextualize our understandings of </w:t>
      </w:r>
      <w:r w:rsidRPr="00E612DD">
        <w:rPr>
          <w:color w:val="000000" w:themeColor="text1"/>
        </w:rPr>
        <w:t>self-publishing</w:t>
      </w:r>
      <w:r>
        <w:rPr>
          <w:color w:val="000000" w:themeColor="text1"/>
        </w:rPr>
        <w:t xml:space="preserve"> of the period, the argument</w:t>
      </w:r>
      <w:r w:rsidRPr="00E612DD">
        <w:rPr>
          <w:color w:val="000000" w:themeColor="text1"/>
          <w:lang w:val="en"/>
        </w:rPr>
        <w:t xml:space="preserve"> does</w:t>
      </w:r>
      <w:r>
        <w:rPr>
          <w:color w:val="000000" w:themeColor="text1"/>
          <w:lang w:val="en"/>
        </w:rPr>
        <w:t xml:space="preserve"> not</w:t>
      </w:r>
      <w:r w:rsidRPr="00E612DD">
        <w:rPr>
          <w:color w:val="000000" w:themeColor="text1"/>
          <w:lang w:val="en"/>
        </w:rPr>
        <w:t xml:space="preserve"> aid an understanding of the authorial labor involved in the publication </w:t>
      </w:r>
      <w:proofErr w:type="gramStart"/>
      <w:r w:rsidRPr="00E612DD">
        <w:rPr>
          <w:color w:val="000000" w:themeColor="text1"/>
          <w:lang w:val="en"/>
        </w:rPr>
        <w:t>process, but</w:t>
      </w:r>
      <w:proofErr w:type="gramEnd"/>
      <w:r w:rsidRPr="00E612DD">
        <w:rPr>
          <w:color w:val="000000" w:themeColor="text1"/>
          <w:lang w:val="en"/>
        </w:rPr>
        <w:t xml:space="preserve"> perpetuates the relieved sigh that the lowness of </w:t>
      </w:r>
      <w:r>
        <w:rPr>
          <w:color w:val="000000" w:themeColor="text1"/>
          <w:lang w:val="en"/>
        </w:rPr>
        <w:t>that</w:t>
      </w:r>
      <w:r w:rsidRPr="00E612DD">
        <w:rPr>
          <w:color w:val="000000" w:themeColor="text1"/>
          <w:lang w:val="en"/>
        </w:rPr>
        <w:t xml:space="preserve"> text’s origins ha</w:t>
      </w:r>
      <w:r>
        <w:rPr>
          <w:color w:val="000000" w:themeColor="text1"/>
          <w:lang w:val="en"/>
        </w:rPr>
        <w:t>s</w:t>
      </w:r>
      <w:r w:rsidRPr="00E612DD">
        <w:rPr>
          <w:color w:val="000000" w:themeColor="text1"/>
          <w:lang w:val="en"/>
        </w:rPr>
        <w:t xml:space="preserve"> not marred the author’s reception</w:t>
      </w:r>
      <w:r>
        <w:rPr>
          <w:color w:val="000000" w:themeColor="text1"/>
          <w:lang w:val="en"/>
        </w:rPr>
        <w:t>; the s</w:t>
      </w:r>
      <w:r w:rsidRPr="00E612DD">
        <w:rPr>
          <w:color w:val="000000" w:themeColor="text1"/>
          <w:lang w:val="en"/>
        </w:rPr>
        <w:t xml:space="preserve">uccess of the author or text </w:t>
      </w:r>
      <w:r>
        <w:rPr>
          <w:color w:val="000000" w:themeColor="text1"/>
          <w:lang w:val="en"/>
        </w:rPr>
        <w:t xml:space="preserve">persists </w:t>
      </w:r>
      <w:r w:rsidRPr="00E612DD">
        <w:rPr>
          <w:color w:val="000000" w:themeColor="text1"/>
          <w:lang w:val="en"/>
        </w:rPr>
        <w:t xml:space="preserve">“against the odds” of it being self-published. </w:t>
      </w:r>
      <w:r w:rsidRPr="00740827">
        <w:rPr>
          <w:color w:val="000000" w:themeColor="text1"/>
          <w:lang w:val="en"/>
        </w:rPr>
        <w:t xml:space="preserve">Further, overcoming the slights of the ignorance and avaricious print trade become part of the author’s narrative of genius. </w:t>
      </w:r>
      <w:r w:rsidRPr="00740827">
        <w:t>To demonstrate</w:t>
      </w:r>
      <w:r>
        <w:t xml:space="preserve"> the potentiality of the renewed focus on authorial labor in the book trade, I have selected</w:t>
      </w:r>
      <w:r w:rsidRPr="009716D5">
        <w:t xml:space="preserve"> </w:t>
      </w:r>
      <w:r>
        <w:t>a</w:t>
      </w:r>
      <w:r w:rsidRPr="009716D5">
        <w:t xml:space="preserve"> </w:t>
      </w:r>
      <w:r>
        <w:t>woman writer who is relatively unknown, but who was</w:t>
      </w:r>
      <w:r w:rsidRPr="009716D5">
        <w:t xml:space="preserve"> experienced </w:t>
      </w:r>
      <w:r>
        <w:t xml:space="preserve">all the same in publishing texts: the Scottish novelist and dramatist, Jean Marishall. </w:t>
      </w:r>
    </w:p>
    <w:p w14:paraId="27D9F359" w14:textId="77777777" w:rsidR="0068166A" w:rsidRDefault="0068166A" w:rsidP="00F60132"/>
    <w:p w14:paraId="6A8EDCDB" w14:textId="34E3916E" w:rsidR="00F60132" w:rsidRPr="00F60132" w:rsidRDefault="00F60132" w:rsidP="00F60132">
      <w:pPr>
        <w:rPr>
          <w:b/>
          <w:bCs/>
        </w:rPr>
      </w:pPr>
      <w:r w:rsidRPr="00F60132">
        <w:rPr>
          <w:b/>
          <w:bCs/>
        </w:rPr>
        <w:t>Jean Marishall</w:t>
      </w:r>
    </w:p>
    <w:p w14:paraId="31DBCA30" w14:textId="2D2ECBC4" w:rsidR="00F60132" w:rsidRDefault="00F60132" w:rsidP="00F60132">
      <w:pPr>
        <w:ind w:firstLine="360"/>
      </w:pPr>
      <w:r>
        <w:t>Little is known of Marishall apart from her publications, which span 1765-</w:t>
      </w:r>
      <w:r w:rsidRPr="00253C01">
        <w:t>1789</w:t>
      </w:r>
      <w:r>
        <w:t xml:space="preserve"> and include two novels, a comedy, and a series of published letters.</w:t>
      </w:r>
      <w:r>
        <w:rPr>
          <w:rStyle w:val="EndnoteReference"/>
        </w:rPr>
        <w:endnoteReference w:id="11"/>
      </w:r>
      <w:r>
        <w:t xml:space="preserve"> </w:t>
      </w:r>
      <w:proofErr w:type="spellStart"/>
      <w:r>
        <w:t>Marishall’s</w:t>
      </w:r>
      <w:proofErr w:type="spellEnd"/>
      <w:r>
        <w:t xml:space="preserve"> most memorable publication is likely her two-volume </w:t>
      </w:r>
      <w:r>
        <w:rPr>
          <w:i/>
          <w:iCs/>
        </w:rPr>
        <w:t xml:space="preserve">A Series of Letters </w:t>
      </w:r>
      <w:r w:rsidRPr="00B95787">
        <w:t>(1788-89),</w:t>
      </w:r>
      <w:r>
        <w:t xml:space="preserve"> valuable for its “</w:t>
      </w:r>
      <w:r w:rsidRPr="00C37FC5">
        <w:t xml:space="preserve">detailed accounts of her protracted and painful dealings, as a writer, with publishers and theatre managers who were </w:t>
      </w:r>
      <w:proofErr w:type="spellStart"/>
      <w:r w:rsidRPr="00C37FC5">
        <w:t>sceptical</w:t>
      </w:r>
      <w:proofErr w:type="spellEnd"/>
      <w:r w:rsidRPr="00C37FC5">
        <w:t xml:space="preserve"> of her market worth</w:t>
      </w:r>
      <w:r>
        <w:t>.”</w:t>
      </w:r>
      <w:r>
        <w:rPr>
          <w:rStyle w:val="EndnoteReference"/>
        </w:rPr>
        <w:endnoteReference w:id="12"/>
      </w:r>
      <w:r>
        <w:t xml:space="preserve"> It is in this text that Marishall shares candid and frank accounts of her negotiations and financial transactions, affording a glimpse of what could be the </w:t>
      </w:r>
      <w:r w:rsidRPr="00F15DBB">
        <w:t>manifold and exhausting labors</w:t>
      </w:r>
      <w:r>
        <w:t xml:space="preserve"> of author-facilitated publication. </w:t>
      </w:r>
    </w:p>
    <w:p w14:paraId="57E87418" w14:textId="77777777" w:rsidR="00F60132" w:rsidRDefault="00F60132" w:rsidP="00F60132">
      <w:pPr>
        <w:ind w:firstLine="360"/>
      </w:pPr>
      <w:r>
        <w:t xml:space="preserve">Through the text of </w:t>
      </w:r>
      <w:r>
        <w:rPr>
          <w:i/>
          <w:iCs/>
        </w:rPr>
        <w:t xml:space="preserve">A Series of Letters, </w:t>
      </w:r>
      <w:r>
        <w:t xml:space="preserve">we learn that Marishall sold the manuscript of her first novel, </w:t>
      </w:r>
      <w:r>
        <w:rPr>
          <w:i/>
          <w:iCs/>
        </w:rPr>
        <w:t xml:space="preserve">The History of Miss Clarinda </w:t>
      </w:r>
      <w:proofErr w:type="spellStart"/>
      <w:r>
        <w:rPr>
          <w:i/>
          <w:iCs/>
        </w:rPr>
        <w:t>Cathcart</w:t>
      </w:r>
      <w:proofErr w:type="spellEnd"/>
      <w:r>
        <w:rPr>
          <w:i/>
          <w:iCs/>
        </w:rPr>
        <w:t>, and Miss Fanny Renton</w:t>
      </w:r>
      <w:r>
        <w:t xml:space="preserve"> (1766), to John and Francis Noble for five guineas. Although this was “traditionally” published in that Marishall sold the copyright for her novel to the Nobles, Marishall also arranged to purchase copies of her own book at wholesale price, taking on part of the distribution. She explains, “I was to have as many copies of it as I </w:t>
      </w:r>
      <w:proofErr w:type="spellStart"/>
      <w:r>
        <w:t>choosed</w:t>
      </w:r>
      <w:proofErr w:type="spellEnd"/>
      <w:r>
        <w:t xml:space="preserve"> at the under price at which they are sold to brothers in trade… I resolved to own myself the author of </w:t>
      </w:r>
      <w:r>
        <w:rPr>
          <w:i/>
          <w:iCs/>
        </w:rPr>
        <w:t xml:space="preserve">Clarinda, </w:t>
      </w:r>
      <w:r>
        <w:t>in expectation of my friends purchasing copies from me, on which I was to have a small profit.”</w:t>
      </w:r>
      <w:r>
        <w:rPr>
          <w:rStyle w:val="EndnoteReference"/>
          <w:rFonts w:eastAsia="Arial"/>
        </w:rPr>
        <w:endnoteReference w:id="13"/>
      </w:r>
      <w:r>
        <w:t xml:space="preserve"> </w:t>
      </w:r>
      <w:r w:rsidRPr="00BC5F60">
        <w:t>This was evidently worth the extra time and labor, for</w:t>
      </w:r>
      <w:r>
        <w:t xml:space="preserve"> Marishall notes that she “made a few guineas of it” thusly, on top of the Nobles’ initial payment.</w:t>
      </w:r>
      <w:r>
        <w:rPr>
          <w:rStyle w:val="EndnoteReference"/>
          <w:rFonts w:eastAsia="Arial"/>
        </w:rPr>
        <w:endnoteReference w:id="14"/>
      </w:r>
      <w:r>
        <w:t xml:space="preserve"> Here, in purchasing copies wholesale to sell by her own means, Marishall is acting as her own bookseller, albeit post-publication. But </w:t>
      </w:r>
      <w:proofErr w:type="spellStart"/>
      <w:r>
        <w:t>Marishall’s</w:t>
      </w:r>
      <w:proofErr w:type="spellEnd"/>
      <w:r>
        <w:t xml:space="preserve"> succinct account of her stint as wholesale bookseller elides questions of logistics, material requirements, and sweaty facts: without premises devoted to her commercial activity or paid employees to assist, Marishall would have had to write and deliver countless letters, arrange visits with friends and acquaintances, and, importantly, lug copies of her two-volume novel between her residence, the lodgings of friends, and the Nobles’ shops. By referring to this process as, neatly, “friends purchasing copies from me,” Marishall simplifies the significant managing and coordination required of her as “pop-up” bookseller.</w:t>
      </w:r>
    </w:p>
    <w:p w14:paraId="0BBAA2B3" w14:textId="77777777" w:rsidR="00F60132" w:rsidRDefault="00F60132" w:rsidP="00F60132">
      <w:pPr>
        <w:ind w:firstLine="720"/>
      </w:pPr>
      <w:r>
        <w:t xml:space="preserve">Furthermore, in selling copies to her friends, </w:t>
      </w:r>
      <w:proofErr w:type="spellStart"/>
      <w:r>
        <w:t>Marishall’s</w:t>
      </w:r>
      <w:proofErr w:type="spellEnd"/>
      <w:r>
        <w:t xml:space="preserve"> authorial labor reorganizes her relationships closest to home, her </w:t>
      </w:r>
      <w:proofErr w:type="gramStart"/>
      <w:r>
        <w:t>family</w:t>
      </w:r>
      <w:proofErr w:type="gramEnd"/>
      <w:r>
        <w:t xml:space="preserve"> and peers. </w:t>
      </w:r>
      <w:r w:rsidRPr="00882077">
        <w:rPr>
          <w:i/>
          <w:iCs/>
        </w:rPr>
        <w:t xml:space="preserve">The History of Miss Clarinda </w:t>
      </w:r>
      <w:proofErr w:type="spellStart"/>
      <w:r w:rsidRPr="00882077">
        <w:rPr>
          <w:i/>
          <w:iCs/>
        </w:rPr>
        <w:t>Cathcart</w:t>
      </w:r>
      <w:proofErr w:type="spellEnd"/>
      <w:r w:rsidRPr="00882077">
        <w:rPr>
          <w:i/>
          <w:iCs/>
        </w:rPr>
        <w:t>, and Miss Fanny Renton</w:t>
      </w:r>
      <w:r w:rsidRPr="00882077">
        <w:t xml:space="preserve"> was published anonymously, but for the preface signed “J. M.” Acting as her own bookseller, Marishall </w:t>
      </w:r>
      <w:r>
        <w:t xml:space="preserve">indicates that she </w:t>
      </w:r>
      <w:r w:rsidRPr="00882077">
        <w:t>must</w:t>
      </w:r>
      <w:r>
        <w:t xml:space="preserve"> first</w:t>
      </w:r>
      <w:r w:rsidRPr="00882077">
        <w:t xml:space="preserve"> “own myself the author”</w:t>
      </w:r>
      <w:r>
        <w:t xml:space="preserve"> to her friends and her family, putting herself at risk of censure.</w:t>
      </w:r>
      <w:r>
        <w:rPr>
          <w:rStyle w:val="EndnoteReference"/>
          <w:rFonts w:eastAsia="Arial"/>
        </w:rPr>
        <w:endnoteReference w:id="15"/>
      </w:r>
      <w:r>
        <w:t xml:space="preserve"> Indeed, her mother is shocked at the idea of a lady novel writer, although the family quickly assures the mother that Marishall has many, many progenitors. Secondly, the books proffered to friends and family in such an exchange are not </w:t>
      </w:r>
      <w:r>
        <w:lastRenderedPageBreak/>
        <w:t xml:space="preserve">presentation copies gifted as tokens of friendship; here friendship and kinship are leveraged to complete a commercial transaction. Marketing her books, even in this “informal” or even “domestic economy,” would have likely exacted an obligation or tax untold upon her </w:t>
      </w:r>
      <w:r w:rsidRPr="005B5B89">
        <w:t>relationships. Additionally</w:t>
      </w:r>
      <w:r>
        <w:t xml:space="preserve">, in becoming her own cottage bookseller, Marishall must identify likely customers among her acquaintance and divulge her authorship to them. </w:t>
      </w:r>
      <w:proofErr w:type="spellStart"/>
      <w:r>
        <w:t>Marishall’s</w:t>
      </w:r>
      <w:proofErr w:type="spellEnd"/>
      <w:r>
        <w:t xml:space="preserve"> anonymous authorship—whether initially intended to obfuscate her authorship, or a byline adopted for its own marketable potential—once dropped, recasts the set of relationships between author, text, and readers. As Marishall becomes her own distributor, her acquaintance </w:t>
      </w:r>
      <w:proofErr w:type="gramStart"/>
      <w:r>
        <w:t>are</w:t>
      </w:r>
      <w:proofErr w:type="gramEnd"/>
      <w:r>
        <w:t xml:space="preserve"> now interpellated as potential purchasers.</w:t>
      </w:r>
    </w:p>
    <w:p w14:paraId="120068AC" w14:textId="77777777" w:rsidR="00F60132" w:rsidRDefault="00F60132" w:rsidP="00F60132">
      <w:pPr>
        <w:ind w:firstLine="720"/>
      </w:pPr>
      <w:r>
        <w:t xml:space="preserve">Outside of her own home, Marishall works to curry favor with and win over patrons, including those social superiors to whom she dedicates her works, and those who would support her via subscription to her second novel, </w:t>
      </w:r>
      <w:r>
        <w:rPr>
          <w:i/>
          <w:iCs/>
        </w:rPr>
        <w:t xml:space="preserve">The History of Alicia Montague </w:t>
      </w:r>
      <w:r>
        <w:t>(1767). Marishall describes wearisome</w:t>
      </w:r>
      <w:r w:rsidRPr="00D01782">
        <w:t xml:space="preserve"> </w:t>
      </w:r>
      <w:r>
        <w:t>negotiation of</w:t>
      </w:r>
      <w:r w:rsidRPr="00D01782">
        <w:t xml:space="preserve"> social </w:t>
      </w:r>
      <w:proofErr w:type="spellStart"/>
      <w:r w:rsidRPr="00D01782">
        <w:t>mor</w:t>
      </w:r>
      <w:r>
        <w:t>é</w:t>
      </w:r>
      <w:r w:rsidRPr="00D01782">
        <w:t>s</w:t>
      </w:r>
      <w:proofErr w:type="spellEnd"/>
      <w:r w:rsidRPr="00D01782">
        <w:t xml:space="preserve"> with her social superiors, giving the lie to the assumption that women possess innate and natural sociability.</w:t>
      </w:r>
      <w:r>
        <w:t xml:space="preserve"> </w:t>
      </w:r>
      <w:proofErr w:type="spellStart"/>
      <w:r>
        <w:t>Marishall’s</w:t>
      </w:r>
      <w:proofErr w:type="spellEnd"/>
      <w:r>
        <w:t xml:space="preserve"> experiences are particularly instructive of the exhausting emotional labor required to return the favor extended to her by her “pretended patrons.”</w:t>
      </w:r>
      <w:r>
        <w:rPr>
          <w:rStyle w:val="EndnoteReference"/>
          <w:rFonts w:eastAsia="Arial"/>
        </w:rPr>
        <w:endnoteReference w:id="16"/>
      </w:r>
      <w:r>
        <w:t xml:space="preserve"> Marishall recounts the embarrassment of once visiting and waiting upon a particularly notable subscriber, feeling unable to “divest myself of a certain timid foolish appearance in the presence of those on whom I on any degree depended.”</w:t>
      </w:r>
      <w:r>
        <w:rPr>
          <w:rStyle w:val="EndnoteReference"/>
          <w:rFonts w:eastAsia="Arial"/>
        </w:rPr>
        <w:endnoteReference w:id="17"/>
      </w:r>
      <w:r>
        <w:t xml:space="preserve"> Marishall also relates sheepishly receiving ten guineas from Queen Charlotte, to whom she dedicated her first novel, and which was </w:t>
      </w:r>
      <w:r w:rsidRPr="009E3B90">
        <w:t>explicitly advertised in the London newspapers as “dedicated to the Queen.”</w:t>
      </w:r>
      <w:r w:rsidRPr="009E3B90">
        <w:rPr>
          <w:rStyle w:val="EndnoteReference"/>
          <w:rFonts w:eastAsia="Arial"/>
        </w:rPr>
        <w:endnoteReference w:id="18"/>
      </w:r>
      <w:r w:rsidRPr="009E3B90">
        <w:t xml:space="preserve"> Further,</w:t>
      </w:r>
      <w:r>
        <w:t xml:space="preserve"> Marishall is bewildered at somehow slighting the Duchess of Northumberland, to whom she dedicated her comedy, </w:t>
      </w:r>
      <w:r w:rsidRPr="00F20626">
        <w:rPr>
          <w:i/>
          <w:iCs/>
        </w:rPr>
        <w:t xml:space="preserve">Sir Harry </w:t>
      </w:r>
      <w:proofErr w:type="spellStart"/>
      <w:r w:rsidRPr="00F20626">
        <w:rPr>
          <w:i/>
          <w:iCs/>
        </w:rPr>
        <w:t>Gaylove</w:t>
      </w:r>
      <w:proofErr w:type="spellEnd"/>
      <w:r w:rsidRPr="00F20626">
        <w:rPr>
          <w:i/>
          <w:iCs/>
        </w:rPr>
        <w:t>; Or, Comedy in Embryo</w:t>
      </w:r>
      <w:r>
        <w:rPr>
          <w:i/>
          <w:iCs/>
        </w:rPr>
        <w:t>,</w:t>
      </w:r>
      <w:r w:rsidRPr="00F20626">
        <w:rPr>
          <w:i/>
          <w:iCs/>
        </w:rPr>
        <w:t xml:space="preserve"> in Five Acts</w:t>
      </w:r>
      <w:r>
        <w:rPr>
          <w:i/>
          <w:iCs/>
        </w:rPr>
        <w:t xml:space="preserve">, </w:t>
      </w:r>
      <w:r>
        <w:t>in the course of seemingly pro forma social courtesies.</w:t>
      </w:r>
      <w:r>
        <w:rPr>
          <w:rStyle w:val="EndnoteReference"/>
          <w:rFonts w:eastAsia="Arial"/>
        </w:rPr>
        <w:endnoteReference w:id="19"/>
      </w:r>
      <w:r>
        <w:t xml:space="preserve"> </w:t>
      </w:r>
    </w:p>
    <w:p w14:paraId="34BC5871" w14:textId="77777777" w:rsidR="00F60132" w:rsidRDefault="00F60132" w:rsidP="00F60132">
      <w:pPr>
        <w:ind w:firstLine="720"/>
      </w:pPr>
      <w:r>
        <w:t xml:space="preserve">Even apart from the ennobled names, </w:t>
      </w:r>
      <w:proofErr w:type="spellStart"/>
      <w:r>
        <w:t>Marishall’s</w:t>
      </w:r>
      <w:proofErr w:type="spellEnd"/>
      <w:r>
        <w:t xml:space="preserve"> subscription list to </w:t>
      </w:r>
      <w:r>
        <w:rPr>
          <w:i/>
          <w:iCs/>
        </w:rPr>
        <w:t xml:space="preserve">The History of Alicia Montague </w:t>
      </w:r>
      <w:r>
        <w:t>was populated with some difficulty. Marishall devotes significant real estate within her text to emphasize the trouble of locating and persuading would-be subscribers:</w:t>
      </w:r>
    </w:p>
    <w:p w14:paraId="3899A53E" w14:textId="77777777" w:rsidR="00F60132" w:rsidRDefault="00F60132" w:rsidP="00F60132">
      <w:pPr>
        <w:ind w:left="720" w:right="720"/>
      </w:pPr>
      <w:r>
        <w:t>[The profits] would have been sufficient to have made me go on, had it not been the great difficulty which I understood there had been in procuring subscriptions. My zealous friends were confined to a few; and they, I had reason to believe, were exceedingly disappointed to find that not one in twenty were disposed to throw away a crown on what they could get a reading of when published for a few pence. Many were the witticisms and sarcasms thrown out on the occasion; few of which, comparatively speaking, reached my ears. However, I then imagined there was sufficient to damp my courage from attempting again to write by subscription.</w:t>
      </w:r>
      <w:r>
        <w:rPr>
          <w:rStyle w:val="EndnoteReference"/>
          <w:rFonts w:eastAsia="Arial"/>
        </w:rPr>
        <w:endnoteReference w:id="20"/>
      </w:r>
      <w:r>
        <w:t xml:space="preserve"> </w:t>
      </w:r>
    </w:p>
    <w:p w14:paraId="79650C38" w14:textId="77777777" w:rsidR="00F60132" w:rsidRPr="00600F2B" w:rsidRDefault="00F60132" w:rsidP="00F60132">
      <w:pPr>
        <w:ind w:right="720"/>
      </w:pPr>
      <w:r>
        <w:t xml:space="preserve">Marishall here relates her experience as subscription-hunter-by-proxy, relying on volunteers who could circulate in public, male-gendered spaces to which Marishall herself would not have had access. The “few pence” alternative, referenced by those disinclined to subscribe, is likely a wry allusion to a circulating library; for a fraction of the subscription fee to purchase </w:t>
      </w:r>
      <w:proofErr w:type="spellStart"/>
      <w:r>
        <w:t>Marishall’s</w:t>
      </w:r>
      <w:proofErr w:type="spellEnd"/>
      <w:r>
        <w:t xml:space="preserve"> book, the propositioned purchaser scoffs, he could visit a circulating library and read </w:t>
      </w:r>
      <w:r>
        <w:rPr>
          <w:i/>
          <w:iCs/>
        </w:rPr>
        <w:t xml:space="preserve">The History of Alicia Montague </w:t>
      </w:r>
      <w:r>
        <w:t>and any number of other novels. Marishall also notes that soliciting subscribers was as difficult as finding and managing the volunteer labor required for locating subscribers, noting that “for one volunteer, I have had twenty pressed, or at least overpersuaded, into my service.”</w:t>
      </w:r>
      <w:r>
        <w:rPr>
          <w:rStyle w:val="EndnoteReference"/>
          <w:rFonts w:eastAsia="Arial"/>
        </w:rPr>
        <w:endnoteReference w:id="21"/>
      </w:r>
      <w:r>
        <w:t xml:space="preserve"> The ridicule received from </w:t>
      </w:r>
      <w:proofErr w:type="gramStart"/>
      <w:r>
        <w:t>averse</w:t>
      </w:r>
      <w:proofErr w:type="gramEnd"/>
      <w:r>
        <w:t xml:space="preserve"> subscribers and the stress of managing her volunteer workforce was exigent enough to discourage Marishall “from attempting again to write </w:t>
      </w:r>
      <w:r>
        <w:lastRenderedPageBreak/>
        <w:t xml:space="preserve">by subscription.” In the end, </w:t>
      </w:r>
      <w:r>
        <w:rPr>
          <w:i/>
          <w:iCs/>
        </w:rPr>
        <w:t xml:space="preserve">Alicia Montague </w:t>
      </w:r>
      <w:r>
        <w:t xml:space="preserve">was eminently more profitable than her first publishing venture and, “after defraying every </w:t>
      </w:r>
      <w:proofErr w:type="spellStart"/>
      <w:r>
        <w:t>expence</w:t>
      </w:r>
      <w:proofErr w:type="spellEnd"/>
      <w:r>
        <w:t>,” Marishall writes, “I cleared about a hundred guineas.”</w:t>
      </w:r>
      <w:r>
        <w:rPr>
          <w:rStyle w:val="EndnoteReference"/>
          <w:rFonts w:eastAsia="Arial"/>
        </w:rPr>
        <w:endnoteReference w:id="22"/>
      </w:r>
      <w:r>
        <w:t xml:space="preserve"> Yet, importantly, Marishall sets the financial value of her </w:t>
      </w:r>
      <w:r w:rsidRPr="00D01782">
        <w:t>labor</w:t>
      </w:r>
      <w:r>
        <w:t xml:space="preserve"> expended: in this case, she deems the one hundred guineas’ profit insufficient compensation for the authorial labor required to publish </w:t>
      </w:r>
      <w:r w:rsidRPr="00D01782">
        <w:t>by subscription.</w:t>
      </w:r>
      <w:r>
        <w:rPr>
          <w:rStyle w:val="EndnoteReference"/>
          <w:rFonts w:eastAsia="Arial"/>
        </w:rPr>
        <w:endnoteReference w:id="23"/>
      </w:r>
      <w:r w:rsidRPr="00D01782">
        <w:t xml:space="preserve"> </w:t>
      </w:r>
    </w:p>
    <w:p w14:paraId="3492B23C" w14:textId="798E4781" w:rsidR="00F60132" w:rsidRDefault="00F60132" w:rsidP="00F60132">
      <w:pPr>
        <w:ind w:firstLine="720"/>
      </w:pPr>
      <w:r w:rsidRPr="00843A27">
        <w:t xml:space="preserve">The </w:t>
      </w:r>
      <w:r w:rsidR="00F65C57">
        <w:t>example</w:t>
      </w:r>
      <w:r w:rsidRPr="00843A27">
        <w:t xml:space="preserve"> </w:t>
      </w:r>
      <w:r>
        <w:t xml:space="preserve">of Jean Marishall </w:t>
      </w:r>
      <w:r w:rsidR="00F65C57">
        <w:t>allows for generative</w:t>
      </w:r>
      <w:r w:rsidRPr="00843A27">
        <w:t xml:space="preserve"> questions that </w:t>
      </w:r>
      <w:r>
        <w:t xml:space="preserve">arise when reading for authorial work in author-facilitated publications. </w:t>
      </w:r>
      <w:r w:rsidRPr="001B0B7D">
        <w:t xml:space="preserve">From </w:t>
      </w:r>
      <w:proofErr w:type="spellStart"/>
      <w:r>
        <w:t>Marishall’s</w:t>
      </w:r>
      <w:proofErr w:type="spellEnd"/>
      <w:r>
        <w:rPr>
          <w:i/>
          <w:iCs/>
        </w:rPr>
        <w:t xml:space="preserve"> Letters</w:t>
      </w:r>
      <w:r w:rsidRPr="001B0B7D">
        <w:t xml:space="preserve"> extend any number of questions</w:t>
      </w:r>
      <w:r>
        <w:t xml:space="preserve"> that are far more productive than merely condemning, for example, </w:t>
      </w:r>
      <w:proofErr w:type="spellStart"/>
      <w:r>
        <w:t>Marishall’s</w:t>
      </w:r>
      <w:proofErr w:type="spellEnd"/>
      <w:r>
        <w:t xml:space="preserve"> comedy</w:t>
      </w:r>
      <w:r>
        <w:rPr>
          <w:i/>
          <w:iCs/>
        </w:rPr>
        <w:t xml:space="preserve"> </w:t>
      </w:r>
      <w:r>
        <w:t>as a mere “poor and amateurish piece, written like her novels under the influence of Richardson.”</w:t>
      </w:r>
      <w:r>
        <w:rPr>
          <w:rStyle w:val="EndnoteReference"/>
          <w:rFonts w:eastAsia="Arial"/>
        </w:rPr>
        <w:endnoteReference w:id="24"/>
      </w:r>
      <w:r>
        <w:t xml:space="preserve"> The texts of Marishall reveal fascinating evidence of c</w:t>
      </w:r>
      <w:r w:rsidRPr="001B0B7D">
        <w:t>oterie connections with intellectual luminaries</w:t>
      </w:r>
      <w:r>
        <w:t>;</w:t>
      </w:r>
      <w:r w:rsidRPr="001B0B7D">
        <w:t xml:space="preserve"> </w:t>
      </w:r>
      <w:r>
        <w:t xml:space="preserve">the legwork of petitioning would-be volunteers, subscribers, and purchasers; </w:t>
      </w:r>
      <w:r w:rsidRPr="001B0B7D">
        <w:t xml:space="preserve">and </w:t>
      </w:r>
      <w:r>
        <w:t>the anxieties of duty and obligation in the late era of literary patronage. In the case of Marishall, a</w:t>
      </w:r>
      <w:r w:rsidRPr="001B0B7D">
        <w:t xml:space="preserve">uthor-facilitated publishing </w:t>
      </w:r>
      <w:r>
        <w:t>manifests in</w:t>
      </w:r>
      <w:r w:rsidRPr="001B0B7D">
        <w:t xml:space="preserve"> </w:t>
      </w:r>
      <w:r>
        <w:t>imploring</w:t>
      </w:r>
      <w:r w:rsidRPr="001B0B7D">
        <w:t xml:space="preserve"> friends and acquaintances for introductions, favors, and errands</w:t>
      </w:r>
      <w:r>
        <w:t xml:space="preserve">, and </w:t>
      </w:r>
      <w:r w:rsidRPr="001B0B7D">
        <w:t>writing to publishers</w:t>
      </w:r>
      <w:r>
        <w:t xml:space="preserve">, </w:t>
      </w:r>
      <w:r w:rsidRPr="001B0B7D">
        <w:t>traipsing to printers</w:t>
      </w:r>
      <w:r>
        <w:t xml:space="preserve"> and publishers, and hauling</w:t>
      </w:r>
      <w:r w:rsidRPr="001B0B7D">
        <w:t xml:space="preserve"> books</w:t>
      </w:r>
      <w:r>
        <w:t xml:space="preserve">. The plentiful details that Marishall provides help illustrate the kinds of activities that she and other women would have undertaken to see their texts through </w:t>
      </w:r>
      <w:r w:rsidRPr="00F8118F">
        <w:t xml:space="preserve">publication. </w:t>
      </w:r>
    </w:p>
    <w:p w14:paraId="625A278F" w14:textId="77777777" w:rsidR="00AD70BE" w:rsidRDefault="00AD70BE" w:rsidP="00F60132">
      <w:pPr>
        <w:ind w:firstLine="720"/>
      </w:pPr>
    </w:p>
    <w:p w14:paraId="7ACC853B" w14:textId="68D6ACC2" w:rsidR="00F60132" w:rsidRDefault="00F65C57" w:rsidP="00AD70BE">
      <w:pPr>
        <w:contextualSpacing/>
        <w:rPr>
          <w:b/>
          <w:bCs/>
        </w:rPr>
      </w:pPr>
      <w:r>
        <w:rPr>
          <w:b/>
          <w:bCs/>
        </w:rPr>
        <w:t>Conclusion</w:t>
      </w:r>
    </w:p>
    <w:p w14:paraId="0EAE719C" w14:textId="3A6D0F57" w:rsidR="00F65C57" w:rsidRDefault="00FE4CF6" w:rsidP="00F60132">
      <w:pPr>
        <w:ind w:firstLine="720"/>
        <w:contextualSpacing/>
        <w:rPr>
          <w:b/>
          <w:bCs/>
        </w:rPr>
      </w:pPr>
      <w:r>
        <w:t>While keeping the various categories of publication separate enables us to understand the intricacies of publishing schemes available to authors during the eighteenth century, temporarily collapsing their differences and collectivizing these processes as author-facilitated publication enables us to attend to the commonalities between the various publication schemes, namely, the author’s necessary expenditure of capital and labor, each in its broadest sense. Author-facilitated publication provides a means of understanding and valuing women’s publications by a</w:t>
      </w:r>
      <w:r w:rsidRPr="00717104">
        <w:t xml:space="preserve">ttending to, and reading for, evidence of authorial work </w:t>
      </w:r>
      <w:r>
        <w:t>and disrupting</w:t>
      </w:r>
      <w:r w:rsidRPr="00717104">
        <w:t xml:space="preserve"> our prejudgments about literary worth, </w:t>
      </w:r>
      <w:r>
        <w:t>authorial intention, and the perceived “success” of a publication, ultimately refocusing</w:t>
      </w:r>
      <w:r w:rsidRPr="00717104">
        <w:t xml:space="preserve"> our attention on the text and entailments of the book trade.</w:t>
      </w:r>
    </w:p>
    <w:p w14:paraId="0B8614E2" w14:textId="77777777" w:rsidR="00F60132" w:rsidRDefault="00F60132" w:rsidP="00F60132"/>
    <w:sectPr w:rsidR="00F60132" w:rsidSect="009813BB">
      <w:headerReference w:type="even" r:id="rId7"/>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71E8" w14:textId="77777777" w:rsidR="003A5EA9" w:rsidRDefault="003A5EA9" w:rsidP="000D179E">
      <w:r>
        <w:separator/>
      </w:r>
    </w:p>
  </w:endnote>
  <w:endnote w:type="continuationSeparator" w:id="0">
    <w:p w14:paraId="4FFDAAA0" w14:textId="77777777" w:rsidR="003A5EA9" w:rsidRDefault="003A5EA9" w:rsidP="000D179E">
      <w:r>
        <w:continuationSeparator/>
      </w:r>
    </w:p>
  </w:endnote>
  <w:endnote w:id="1">
    <w:p w14:paraId="4459E8FF" w14:textId="74F0F1A2" w:rsidR="00FE4CF6" w:rsidRPr="00FE4CF6" w:rsidRDefault="00FE4CF6">
      <w:pPr>
        <w:pStyle w:val="EndnoteText"/>
        <w:rPr>
          <w:lang w:val="en-US"/>
        </w:rPr>
      </w:pPr>
      <w:r>
        <w:rPr>
          <w:rStyle w:val="EndnoteReference"/>
        </w:rPr>
        <w:endnoteRef/>
      </w:r>
      <w:r>
        <w:t xml:space="preserve"> </w:t>
      </w:r>
      <w:r w:rsidRPr="00B015B7">
        <w:rPr>
          <w:rFonts w:ascii="Times New Roman" w:hAnsi="Times New Roman" w:cs="Times New Roman"/>
          <w:sz w:val="24"/>
          <w:szCs w:val="24"/>
        </w:rPr>
        <w:t xml:space="preserve">Lisa </w:t>
      </w:r>
      <w:proofErr w:type="spellStart"/>
      <w:r w:rsidRPr="00B015B7">
        <w:rPr>
          <w:rFonts w:ascii="Times New Roman" w:hAnsi="Times New Roman" w:cs="Times New Roman"/>
          <w:sz w:val="24"/>
          <w:szCs w:val="24"/>
        </w:rPr>
        <w:t>Maruca</w:t>
      </w:r>
      <w:proofErr w:type="spellEnd"/>
      <w:r w:rsidRPr="00B015B7">
        <w:rPr>
          <w:rFonts w:ascii="Times New Roman" w:hAnsi="Times New Roman" w:cs="Times New Roman"/>
          <w:sz w:val="24"/>
          <w:szCs w:val="24"/>
        </w:rPr>
        <w:t xml:space="preserve">, </w:t>
      </w:r>
      <w:r w:rsidRPr="00B015B7">
        <w:rPr>
          <w:rFonts w:ascii="Times New Roman" w:hAnsi="Times New Roman" w:cs="Times New Roman"/>
          <w:i/>
          <w:iCs/>
          <w:sz w:val="24"/>
          <w:szCs w:val="24"/>
        </w:rPr>
        <w:t>The Work of Print: Authorship and the English Text Trade</w:t>
      </w:r>
      <w:r w:rsidRPr="00B015B7">
        <w:rPr>
          <w:rFonts w:ascii="Times New Roman" w:hAnsi="Times New Roman" w:cs="Times New Roman"/>
          <w:sz w:val="24"/>
          <w:szCs w:val="24"/>
        </w:rPr>
        <w:t xml:space="preserve">s, </w:t>
      </w:r>
      <w:r w:rsidRPr="00B015B7">
        <w:rPr>
          <w:rFonts w:ascii="Times New Roman" w:hAnsi="Times New Roman" w:cs="Times New Roman"/>
          <w:i/>
          <w:iCs/>
          <w:sz w:val="24"/>
          <w:szCs w:val="24"/>
        </w:rPr>
        <w:t>1660-1760</w:t>
      </w:r>
      <w:r w:rsidRPr="00B015B7">
        <w:rPr>
          <w:rFonts w:ascii="Times New Roman" w:hAnsi="Times New Roman" w:cs="Times New Roman"/>
          <w:sz w:val="24"/>
          <w:szCs w:val="24"/>
        </w:rPr>
        <w:t xml:space="preserve"> (Seattle: U Washington P, 2007</w:t>
      </w:r>
      <w:r>
        <w:rPr>
          <w:rFonts w:ascii="Times New Roman" w:hAnsi="Times New Roman" w:cs="Times New Roman"/>
          <w:sz w:val="24"/>
          <w:szCs w:val="24"/>
        </w:rPr>
        <w:t xml:space="preserve">); Helen Smith, </w:t>
      </w:r>
      <w:r>
        <w:rPr>
          <w:rFonts w:ascii="Times New Roman" w:hAnsi="Times New Roman" w:cs="Times New Roman"/>
          <w:i/>
          <w:iCs/>
          <w:sz w:val="24"/>
          <w:szCs w:val="24"/>
        </w:rPr>
        <w:t xml:space="preserve">“Grossly Material Things”: Women and Book Production in Early Modern </w:t>
      </w:r>
      <w:r w:rsidRPr="00FE4CF6">
        <w:rPr>
          <w:rFonts w:ascii="Times New Roman" w:hAnsi="Times New Roman" w:cs="Times New Roman"/>
          <w:i/>
          <w:iCs/>
          <w:sz w:val="24"/>
          <w:szCs w:val="24"/>
        </w:rPr>
        <w:t>England</w:t>
      </w:r>
      <w:r>
        <w:rPr>
          <w:rFonts w:ascii="Times New Roman" w:hAnsi="Times New Roman" w:cs="Times New Roman"/>
          <w:sz w:val="24"/>
          <w:szCs w:val="24"/>
        </w:rPr>
        <w:t xml:space="preserve"> (Oxford: OUP, </w:t>
      </w:r>
      <w:r w:rsidR="00974EA3">
        <w:rPr>
          <w:rFonts w:ascii="Times New Roman" w:hAnsi="Times New Roman" w:cs="Times New Roman"/>
          <w:sz w:val="24"/>
          <w:szCs w:val="24"/>
        </w:rPr>
        <w:t xml:space="preserve">2012); </w:t>
      </w:r>
      <w:r w:rsidRPr="00FE4CF6">
        <w:rPr>
          <w:rFonts w:ascii="Times New Roman" w:hAnsi="Times New Roman" w:cs="Times New Roman"/>
          <w:sz w:val="24"/>
          <w:szCs w:val="24"/>
        </w:rPr>
        <w:t>Kate</w:t>
      </w:r>
      <w:r w:rsidRPr="00B015B7">
        <w:rPr>
          <w:rFonts w:ascii="Times New Roman" w:hAnsi="Times New Roman" w:cs="Times New Roman"/>
          <w:sz w:val="24"/>
          <w:szCs w:val="24"/>
        </w:rPr>
        <w:t xml:space="preserve"> Ozment, “Women’s Labor in the Mid-Eighteenth-Century English Literary Economy,” </w:t>
      </w:r>
      <w:r w:rsidRPr="00B015B7">
        <w:rPr>
          <w:rFonts w:ascii="Times New Roman" w:hAnsi="Times New Roman" w:cs="Times New Roman"/>
          <w:i/>
          <w:iCs/>
          <w:sz w:val="24"/>
          <w:szCs w:val="24"/>
        </w:rPr>
        <w:t xml:space="preserve">Huntington Library Quarterly </w:t>
      </w:r>
      <w:r w:rsidRPr="00B015B7">
        <w:rPr>
          <w:rFonts w:ascii="Times New Roman" w:hAnsi="Times New Roman" w:cs="Times New Roman"/>
          <w:sz w:val="24"/>
          <w:szCs w:val="24"/>
        </w:rPr>
        <w:t>85, no. 1 (2021)</w:t>
      </w:r>
      <w:r>
        <w:rPr>
          <w:rFonts w:ascii="Times New Roman" w:hAnsi="Times New Roman" w:cs="Times New Roman"/>
          <w:sz w:val="24"/>
          <w:szCs w:val="24"/>
        </w:rPr>
        <w:t>.</w:t>
      </w:r>
    </w:p>
  </w:endnote>
  <w:endnote w:id="2">
    <w:p w14:paraId="6F75C978" w14:textId="338D43E3" w:rsidR="00974EA3" w:rsidRPr="00974EA3" w:rsidRDefault="00974EA3">
      <w:pPr>
        <w:pStyle w:val="EndnoteText"/>
        <w:rPr>
          <w:rFonts w:ascii="Times New Roman" w:hAnsi="Times New Roman" w:cs="Times New Roman"/>
          <w:sz w:val="24"/>
          <w:szCs w:val="24"/>
        </w:rPr>
      </w:pPr>
      <w:r>
        <w:rPr>
          <w:rStyle w:val="EndnoteReference"/>
        </w:rPr>
        <w:endnoteRef/>
      </w:r>
      <w:r>
        <w:t xml:space="preserve"> </w:t>
      </w:r>
      <w:r w:rsidRPr="00B015B7">
        <w:rPr>
          <w:rFonts w:ascii="Times New Roman" w:hAnsi="Times New Roman" w:cs="Times New Roman"/>
          <w:sz w:val="24"/>
          <w:szCs w:val="24"/>
        </w:rPr>
        <w:t xml:space="preserve">Betty Schellenberg, </w:t>
      </w:r>
      <w:r w:rsidRPr="00B015B7">
        <w:rPr>
          <w:rFonts w:ascii="Times New Roman" w:hAnsi="Times New Roman" w:cs="Times New Roman"/>
          <w:i/>
          <w:iCs/>
          <w:sz w:val="24"/>
          <w:szCs w:val="24"/>
        </w:rPr>
        <w:t>The Professionalization of Women Writers in Eighteenth-Century Britain</w:t>
      </w:r>
      <w:r w:rsidRPr="00B015B7">
        <w:rPr>
          <w:rFonts w:ascii="Times New Roman" w:hAnsi="Times New Roman" w:cs="Times New Roman"/>
          <w:sz w:val="24"/>
          <w:szCs w:val="24"/>
        </w:rPr>
        <w:t xml:space="preserve"> (Cambridge: Cambridge UP, 2005)</w:t>
      </w:r>
      <w:r>
        <w:rPr>
          <w:rFonts w:ascii="Times New Roman" w:hAnsi="Times New Roman" w:cs="Times New Roman"/>
          <w:sz w:val="24"/>
          <w:szCs w:val="24"/>
        </w:rPr>
        <w:t xml:space="preserve">; </w:t>
      </w:r>
      <w:r w:rsidRPr="00B015B7">
        <w:rPr>
          <w:rFonts w:ascii="Times New Roman" w:hAnsi="Times New Roman" w:cs="Times New Roman"/>
          <w:color w:val="000000"/>
          <w:sz w:val="24"/>
          <w:szCs w:val="24"/>
        </w:rPr>
        <w:t xml:space="preserve">Michelle Levy, “Do women have a book history?” </w:t>
      </w:r>
      <w:r w:rsidRPr="00B015B7">
        <w:rPr>
          <w:rFonts w:ascii="Times New Roman" w:hAnsi="Times New Roman" w:cs="Times New Roman"/>
          <w:i/>
          <w:iCs/>
          <w:color w:val="000000"/>
          <w:sz w:val="24"/>
          <w:szCs w:val="24"/>
        </w:rPr>
        <w:t>Studies in Romanticism, 53</w:t>
      </w:r>
      <w:r w:rsidRPr="00B015B7">
        <w:rPr>
          <w:rFonts w:ascii="Times New Roman" w:hAnsi="Times New Roman" w:cs="Times New Roman"/>
          <w:color w:val="000000"/>
          <w:sz w:val="24"/>
          <w:szCs w:val="24"/>
        </w:rPr>
        <w:t xml:space="preserve"> (2014): 297–317.</w:t>
      </w:r>
    </w:p>
  </w:endnote>
  <w:endnote w:id="3">
    <w:p w14:paraId="783B9744" w14:textId="77777777" w:rsidR="00321767" w:rsidRPr="00B015B7" w:rsidRDefault="00321767" w:rsidP="00321767">
      <w:pPr>
        <w:pStyle w:val="EndnoteText"/>
        <w:rPr>
          <w:rFonts w:ascii="Times New Roman" w:hAnsi="Times New Roman" w:cs="Times New Roman"/>
          <w:sz w:val="24"/>
          <w:szCs w:val="24"/>
        </w:rPr>
      </w:pPr>
      <w:r w:rsidRPr="00B015B7">
        <w:rPr>
          <w:rFonts w:ascii="Times New Roman" w:hAnsi="Times New Roman" w:cs="Times New Roman"/>
          <w:sz w:val="24"/>
          <w:szCs w:val="24"/>
          <w:vertAlign w:val="superscript"/>
        </w:rPr>
        <w:endnoteRef/>
      </w:r>
      <w:r w:rsidRPr="00B015B7">
        <w:rPr>
          <w:rFonts w:ascii="Times New Roman" w:hAnsi="Times New Roman" w:cs="Times New Roman"/>
          <w:sz w:val="24"/>
          <w:szCs w:val="24"/>
        </w:rPr>
        <w:t xml:space="preserve"> Keith Maslen, “Printing for the Author: From the Bowyer Printing Ledgers, 1710-1775,” </w:t>
      </w:r>
      <w:r w:rsidRPr="00B015B7">
        <w:rPr>
          <w:rFonts w:ascii="Times New Roman" w:hAnsi="Times New Roman" w:cs="Times New Roman"/>
          <w:i/>
          <w:iCs/>
          <w:sz w:val="24"/>
          <w:szCs w:val="24"/>
        </w:rPr>
        <w:t xml:space="preserve">The Library </w:t>
      </w:r>
      <w:r w:rsidRPr="00B015B7">
        <w:rPr>
          <w:rFonts w:ascii="Times New Roman" w:hAnsi="Times New Roman" w:cs="Times New Roman"/>
          <w:sz w:val="24"/>
          <w:szCs w:val="24"/>
        </w:rPr>
        <w:t>5</w:t>
      </w:r>
      <w:r w:rsidRPr="00B015B7">
        <w:rPr>
          <w:rFonts w:ascii="Times New Roman" w:hAnsi="Times New Roman" w:cs="Times New Roman"/>
          <w:sz w:val="24"/>
          <w:szCs w:val="24"/>
          <w:vertAlign w:val="superscript"/>
        </w:rPr>
        <w:t>th</w:t>
      </w:r>
      <w:r w:rsidRPr="00B015B7">
        <w:rPr>
          <w:rFonts w:ascii="Times New Roman" w:hAnsi="Times New Roman" w:cs="Times New Roman"/>
          <w:sz w:val="24"/>
          <w:szCs w:val="24"/>
        </w:rPr>
        <w:t xml:space="preserve"> ser., 27, no. 4 (1972): 302.</w:t>
      </w:r>
    </w:p>
  </w:endnote>
  <w:endnote w:id="4">
    <w:p w14:paraId="7998E265" w14:textId="0C18445C" w:rsidR="0099263F" w:rsidRPr="0036354C" w:rsidRDefault="0099263F" w:rsidP="0099263F">
      <w:pPr>
        <w:pStyle w:val="EndnoteText"/>
        <w:rPr>
          <w:rFonts w:ascii="Times New Roman" w:hAnsi="Times New Roman" w:cs="Times New Roman"/>
          <w:sz w:val="24"/>
          <w:szCs w:val="24"/>
        </w:rPr>
      </w:pPr>
      <w:r w:rsidRPr="00106A04">
        <w:rPr>
          <w:rStyle w:val="EndnoteReference"/>
          <w:rFonts w:ascii="Times New Roman" w:hAnsi="Times New Roman" w:cs="Times New Roman"/>
          <w:sz w:val="24"/>
          <w:szCs w:val="24"/>
        </w:rPr>
        <w:endnoteRef/>
      </w:r>
      <w:r w:rsidR="00106A04" w:rsidRPr="00106A04">
        <w:rPr>
          <w:rFonts w:ascii="Times New Roman" w:hAnsi="Times New Roman" w:cs="Times New Roman"/>
          <w:sz w:val="24"/>
          <w:szCs w:val="24"/>
          <w:lang w:val="en-US"/>
        </w:rPr>
        <w:t xml:space="preserve"> J. A. </w:t>
      </w:r>
      <w:proofErr w:type="spellStart"/>
      <w:r w:rsidR="00106A04">
        <w:rPr>
          <w:rFonts w:ascii="Times New Roman" w:hAnsi="Times New Roman" w:cs="Times New Roman"/>
          <w:sz w:val="24"/>
          <w:szCs w:val="24"/>
          <w:lang w:val="en-US"/>
        </w:rPr>
        <w:t>Downie</w:t>
      </w:r>
      <w:proofErr w:type="spellEnd"/>
      <w:r w:rsidR="00106A04">
        <w:rPr>
          <w:rFonts w:ascii="Times New Roman" w:hAnsi="Times New Roman" w:cs="Times New Roman"/>
          <w:sz w:val="24"/>
          <w:szCs w:val="24"/>
          <w:lang w:val="en-US"/>
        </w:rPr>
        <w:t xml:space="preserve">, </w:t>
      </w:r>
      <w:r w:rsidR="00106A04" w:rsidRPr="00106A04">
        <w:rPr>
          <w:rFonts w:ascii="Times New Roman" w:hAnsi="Times New Roman" w:cs="Times New Roman"/>
          <w:sz w:val="24"/>
          <w:szCs w:val="24"/>
          <w:lang w:val="en-US"/>
        </w:rPr>
        <w:t>“Printing for the Author in the Long Eighteenth Century</w:t>
      </w:r>
      <w:r w:rsidR="00106A04">
        <w:rPr>
          <w:rFonts w:ascii="Times New Roman" w:hAnsi="Times New Roman" w:cs="Times New Roman"/>
          <w:sz w:val="24"/>
          <w:szCs w:val="24"/>
          <w:lang w:val="en-US"/>
        </w:rPr>
        <w:t>,</w:t>
      </w:r>
      <w:r w:rsidR="00106A04" w:rsidRPr="00106A04">
        <w:rPr>
          <w:rFonts w:ascii="Times New Roman" w:hAnsi="Times New Roman" w:cs="Times New Roman"/>
          <w:sz w:val="24"/>
          <w:szCs w:val="24"/>
          <w:lang w:val="en-US"/>
        </w:rPr>
        <w:t>” </w:t>
      </w:r>
      <w:r w:rsidR="00106A04" w:rsidRPr="00106A04">
        <w:rPr>
          <w:rFonts w:ascii="Times New Roman" w:hAnsi="Times New Roman" w:cs="Times New Roman"/>
          <w:i/>
          <w:iCs/>
          <w:sz w:val="24"/>
          <w:szCs w:val="24"/>
          <w:lang w:val="en-US"/>
        </w:rPr>
        <w:t>British Literature and Print Culture</w:t>
      </w:r>
      <w:r w:rsidR="00106A04" w:rsidRPr="00106A04">
        <w:rPr>
          <w:rFonts w:ascii="Times New Roman" w:hAnsi="Times New Roman" w:cs="Times New Roman"/>
          <w:sz w:val="24"/>
          <w:szCs w:val="24"/>
          <w:lang w:val="en-US"/>
        </w:rPr>
        <w:t>. Ed. Sandro Jung</w:t>
      </w:r>
      <w:r w:rsidR="00106A04">
        <w:rPr>
          <w:rFonts w:ascii="Times New Roman" w:hAnsi="Times New Roman" w:cs="Times New Roman"/>
          <w:sz w:val="24"/>
          <w:szCs w:val="24"/>
          <w:lang w:val="en-US"/>
        </w:rPr>
        <w:t xml:space="preserve"> (</w:t>
      </w:r>
      <w:r w:rsidR="00106A04" w:rsidRPr="00106A04">
        <w:rPr>
          <w:rFonts w:ascii="Times New Roman" w:hAnsi="Times New Roman" w:cs="Times New Roman"/>
          <w:sz w:val="24"/>
          <w:szCs w:val="24"/>
          <w:lang w:val="en-US"/>
        </w:rPr>
        <w:t>Cambridge: D. S. Brewer, 2013</w:t>
      </w:r>
      <w:r w:rsidR="00106A04">
        <w:rPr>
          <w:rFonts w:ascii="Times New Roman" w:hAnsi="Times New Roman" w:cs="Times New Roman"/>
          <w:sz w:val="24"/>
          <w:szCs w:val="24"/>
          <w:lang w:val="en-US"/>
        </w:rPr>
        <w:t>):</w:t>
      </w:r>
      <w:r w:rsidR="00106A04" w:rsidRPr="00106A04">
        <w:rPr>
          <w:rFonts w:ascii="Times New Roman" w:hAnsi="Times New Roman" w:cs="Times New Roman"/>
          <w:sz w:val="24"/>
          <w:szCs w:val="24"/>
          <w:lang w:val="en-US"/>
        </w:rPr>
        <w:t xml:space="preserve"> 58-77</w:t>
      </w:r>
      <w:r w:rsidR="00106A04">
        <w:rPr>
          <w:rFonts w:ascii="Times New Roman" w:hAnsi="Times New Roman" w:cs="Times New Roman"/>
          <w:sz w:val="24"/>
          <w:szCs w:val="24"/>
          <w:lang w:val="en-US"/>
        </w:rPr>
        <w:t xml:space="preserve">; John Feather, </w:t>
      </w:r>
      <w:r w:rsidR="00106A04" w:rsidRPr="00B015B7">
        <w:rPr>
          <w:rFonts w:ascii="Times New Roman" w:hAnsi="Times New Roman" w:cs="Times New Roman"/>
          <w:sz w:val="24"/>
          <w:szCs w:val="24"/>
        </w:rPr>
        <w:t>“Business Models in the Eighteenth</w:t>
      </w:r>
      <w:r w:rsidR="00106A04">
        <w:rPr>
          <w:rFonts w:ascii="Times New Roman" w:hAnsi="Times New Roman" w:cs="Times New Roman"/>
          <w:sz w:val="24"/>
          <w:szCs w:val="24"/>
        </w:rPr>
        <w:t>-</w:t>
      </w:r>
      <w:r w:rsidR="00106A04" w:rsidRPr="00B015B7">
        <w:rPr>
          <w:rFonts w:ascii="Times New Roman" w:hAnsi="Times New Roman" w:cs="Times New Roman"/>
          <w:sz w:val="24"/>
          <w:szCs w:val="24"/>
        </w:rPr>
        <w:t xml:space="preserve">Century </w:t>
      </w:r>
      <w:r w:rsidR="00106A04">
        <w:rPr>
          <w:rFonts w:ascii="Times New Roman" w:hAnsi="Times New Roman" w:cs="Times New Roman"/>
          <w:sz w:val="24"/>
          <w:szCs w:val="24"/>
        </w:rPr>
        <w:t xml:space="preserve">London </w:t>
      </w:r>
      <w:r w:rsidR="00106A04" w:rsidRPr="00B015B7">
        <w:rPr>
          <w:rFonts w:ascii="Times New Roman" w:hAnsi="Times New Roman" w:cs="Times New Roman"/>
          <w:sz w:val="24"/>
          <w:szCs w:val="24"/>
        </w:rPr>
        <w:t>Book Trade</w:t>
      </w:r>
      <w:r w:rsidR="00106A04">
        <w:rPr>
          <w:rFonts w:ascii="Times New Roman" w:hAnsi="Times New Roman" w:cs="Times New Roman"/>
          <w:sz w:val="24"/>
          <w:szCs w:val="24"/>
        </w:rPr>
        <w:t>,</w:t>
      </w:r>
      <w:r w:rsidR="00106A04" w:rsidRPr="00B015B7">
        <w:rPr>
          <w:rFonts w:ascii="Times New Roman" w:hAnsi="Times New Roman" w:cs="Times New Roman"/>
          <w:sz w:val="24"/>
          <w:szCs w:val="24"/>
        </w:rPr>
        <w:t>”</w:t>
      </w:r>
      <w:r w:rsidR="00106A04">
        <w:rPr>
          <w:rFonts w:ascii="Times New Roman" w:hAnsi="Times New Roman" w:cs="Times New Roman"/>
          <w:sz w:val="24"/>
          <w:szCs w:val="24"/>
        </w:rPr>
        <w:t xml:space="preserve"> </w:t>
      </w:r>
      <w:r w:rsidR="00106A04">
        <w:rPr>
          <w:rFonts w:ascii="Times New Roman" w:hAnsi="Times New Roman" w:cs="Times New Roman"/>
          <w:i/>
          <w:iCs/>
          <w:sz w:val="24"/>
          <w:szCs w:val="24"/>
        </w:rPr>
        <w:t>Publishing History</w:t>
      </w:r>
      <w:r w:rsidR="00106A04">
        <w:rPr>
          <w:rFonts w:ascii="Times New Roman" w:hAnsi="Times New Roman" w:cs="Times New Roman"/>
          <w:sz w:val="24"/>
          <w:szCs w:val="24"/>
        </w:rPr>
        <w:t xml:space="preserve"> 78, 55-</w:t>
      </w:r>
      <w:r w:rsidR="00106A04" w:rsidRPr="00106A04">
        <w:rPr>
          <w:rFonts w:ascii="Times New Roman" w:hAnsi="Times New Roman" w:cs="Times New Roman"/>
          <w:sz w:val="24"/>
          <w:szCs w:val="24"/>
        </w:rPr>
        <w:t xml:space="preserve">83. As Feather </w:t>
      </w:r>
      <w:r w:rsidR="00106A04" w:rsidRPr="00106A04">
        <w:rPr>
          <w:rFonts w:ascii="Times New Roman" w:hAnsi="Times New Roman" w:cs="Times New Roman"/>
          <w:sz w:val="24"/>
          <w:szCs w:val="24"/>
        </w:rPr>
        <w:t xml:space="preserve">notes, “there are many examples where the author has become the </w:t>
      </w:r>
      <w:r w:rsidR="00106A04" w:rsidRPr="00106A04">
        <w:rPr>
          <w:rFonts w:ascii="Times New Roman" w:hAnsi="Times New Roman" w:cs="Times New Roman"/>
          <w:i/>
          <w:iCs/>
          <w:sz w:val="24"/>
          <w:szCs w:val="24"/>
        </w:rPr>
        <w:t>de facto</w:t>
      </w:r>
      <w:r w:rsidR="00106A04" w:rsidRPr="00106A04">
        <w:rPr>
          <w:rFonts w:ascii="Times New Roman" w:hAnsi="Times New Roman" w:cs="Times New Roman"/>
          <w:sz w:val="24"/>
          <w:szCs w:val="24"/>
        </w:rPr>
        <w:t xml:space="preserve"> co-publisher of the work by being required to pay for a part of the process or by some other risk-</w:t>
      </w:r>
      <w:r w:rsidR="00106A04" w:rsidRPr="0036354C">
        <w:rPr>
          <w:rFonts w:ascii="Times New Roman" w:hAnsi="Times New Roman" w:cs="Times New Roman"/>
          <w:sz w:val="24"/>
          <w:szCs w:val="24"/>
        </w:rPr>
        <w:t>sharing (and hence profit-sharing) mechanism</w:t>
      </w:r>
      <w:r w:rsidR="00106A04" w:rsidRPr="0036354C">
        <w:rPr>
          <w:rFonts w:ascii="Times New Roman" w:hAnsi="Times New Roman" w:cs="Times New Roman"/>
          <w:sz w:val="24"/>
          <w:szCs w:val="24"/>
        </w:rPr>
        <w:t>” (74).</w:t>
      </w:r>
    </w:p>
  </w:endnote>
  <w:endnote w:id="5">
    <w:p w14:paraId="4922AD3B" w14:textId="77777777" w:rsidR="00F65C57" w:rsidRPr="0036354C" w:rsidRDefault="00F65C57" w:rsidP="00F65C57">
      <w:pPr>
        <w:pStyle w:val="EndnoteText"/>
        <w:rPr>
          <w:rFonts w:cs="Times New Roman"/>
          <w:sz w:val="24"/>
          <w:szCs w:val="24"/>
        </w:rPr>
      </w:pPr>
      <w:r w:rsidRPr="0036354C">
        <w:rPr>
          <w:rStyle w:val="EndnoteReference"/>
          <w:rFonts w:ascii="Times New Roman" w:hAnsi="Times New Roman" w:cs="Times New Roman"/>
          <w:sz w:val="24"/>
          <w:szCs w:val="24"/>
        </w:rPr>
        <w:endnoteRef/>
      </w:r>
      <w:r w:rsidRPr="0036354C">
        <w:rPr>
          <w:rFonts w:ascii="Times New Roman" w:hAnsi="Times New Roman" w:cs="Times New Roman"/>
          <w:sz w:val="24"/>
          <w:szCs w:val="24"/>
        </w:rPr>
        <w:t xml:space="preserve"> Definitions taken from Kate </w:t>
      </w:r>
      <w:proofErr w:type="spellStart"/>
      <w:r w:rsidRPr="0036354C">
        <w:rPr>
          <w:rFonts w:ascii="Times New Roman" w:hAnsi="Times New Roman" w:cs="Times New Roman"/>
          <w:sz w:val="24"/>
          <w:szCs w:val="24"/>
        </w:rPr>
        <w:t>Ozment’s</w:t>
      </w:r>
      <w:proofErr w:type="spellEnd"/>
      <w:r w:rsidRPr="0036354C">
        <w:rPr>
          <w:rFonts w:ascii="Times New Roman" w:hAnsi="Times New Roman" w:cs="Times New Roman"/>
          <w:sz w:val="24"/>
          <w:szCs w:val="24"/>
        </w:rPr>
        <w:t xml:space="preserve"> useful table, “Late Eighteenth-Century Associations” from her essay, “What Does it Mean to </w:t>
      </w:r>
      <w:r w:rsidRPr="0036354C">
        <w:rPr>
          <w:rFonts w:ascii="Times New Roman" w:hAnsi="Times New Roman" w:cs="Times New Roman"/>
          <w:i/>
          <w:iCs/>
          <w:sz w:val="24"/>
          <w:szCs w:val="24"/>
        </w:rPr>
        <w:t>Publish</w:t>
      </w:r>
      <w:r w:rsidRPr="0036354C">
        <w:rPr>
          <w:rFonts w:ascii="Times New Roman" w:hAnsi="Times New Roman" w:cs="Times New Roman"/>
          <w:sz w:val="24"/>
          <w:szCs w:val="24"/>
        </w:rPr>
        <w:t xml:space="preserve">? A Messy Accounting of Anne Dodd,” </w:t>
      </w:r>
      <w:r w:rsidRPr="0036354C">
        <w:rPr>
          <w:rFonts w:ascii="Times New Roman" w:hAnsi="Times New Roman" w:cs="Times New Roman"/>
          <w:i/>
          <w:iCs/>
          <w:sz w:val="24"/>
          <w:szCs w:val="24"/>
        </w:rPr>
        <w:t>The</w:t>
      </w:r>
      <w:r w:rsidRPr="0036354C">
        <w:rPr>
          <w:rFonts w:ascii="Times New Roman" w:hAnsi="Times New Roman" w:cs="Times New Roman"/>
          <w:sz w:val="24"/>
          <w:szCs w:val="24"/>
        </w:rPr>
        <w:t> </w:t>
      </w:r>
      <w:r w:rsidRPr="0036354C">
        <w:rPr>
          <w:rFonts w:ascii="Times New Roman" w:hAnsi="Times New Roman" w:cs="Times New Roman"/>
          <w:i/>
          <w:iCs/>
          <w:sz w:val="24"/>
          <w:szCs w:val="24"/>
        </w:rPr>
        <w:t>Women's Print History Project</w:t>
      </w:r>
      <w:r w:rsidRPr="0036354C">
        <w:rPr>
          <w:rFonts w:ascii="Times New Roman" w:hAnsi="Times New Roman" w:cs="Times New Roman"/>
          <w:sz w:val="24"/>
          <w:szCs w:val="24"/>
        </w:rPr>
        <w:t xml:space="preserve">, 5 August 2022, </w:t>
      </w:r>
      <w:hyperlink r:id="rId1" w:history="1">
        <w:r w:rsidRPr="0036354C">
          <w:rPr>
            <w:rStyle w:val="Hyperlink"/>
            <w:rFonts w:ascii="Times New Roman" w:hAnsi="Times New Roman" w:cs="Times New Roman"/>
            <w:sz w:val="24"/>
            <w:szCs w:val="24"/>
          </w:rPr>
          <w:t>https://womensprinthistoryproject.com/blog/post/111</w:t>
        </w:r>
      </w:hyperlink>
      <w:r w:rsidRPr="0036354C">
        <w:rPr>
          <w:rFonts w:ascii="Times New Roman" w:hAnsi="Times New Roman" w:cs="Times New Roman"/>
          <w:sz w:val="24"/>
          <w:szCs w:val="24"/>
        </w:rPr>
        <w:t>.</w:t>
      </w:r>
    </w:p>
  </w:endnote>
  <w:endnote w:id="6">
    <w:p w14:paraId="3A3C0CA6" w14:textId="5B7AE434" w:rsidR="00F60132" w:rsidRPr="00B015B7" w:rsidRDefault="00F60132" w:rsidP="00F60132">
      <w:pPr>
        <w:contextualSpacing/>
        <w:rPr>
          <w:color w:val="000000"/>
        </w:rPr>
      </w:pPr>
      <w:r w:rsidRPr="00B015B7">
        <w:rPr>
          <w:rStyle w:val="EndnoteReference"/>
        </w:rPr>
        <w:endnoteRef/>
      </w:r>
      <w:r w:rsidRPr="00B015B7">
        <w:t xml:space="preserve"> This table informed by </w:t>
      </w:r>
      <w:r w:rsidRPr="00B015B7">
        <w:rPr>
          <w:color w:val="050505"/>
          <w:shd w:val="clear" w:color="auto" w:fill="FCFCFC"/>
        </w:rPr>
        <w:t>James Raven, </w:t>
      </w:r>
      <w:r w:rsidRPr="00B015B7">
        <w:rPr>
          <w:rStyle w:val="Emphasis"/>
          <w:color w:val="050505"/>
          <w:shd w:val="clear" w:color="auto" w:fill="FCFCFC"/>
        </w:rPr>
        <w:t>The Business of Books: Booksellers and the English Book Trade</w:t>
      </w:r>
      <w:r w:rsidRPr="00B015B7">
        <w:rPr>
          <w:color w:val="050505"/>
          <w:shd w:val="clear" w:color="auto" w:fill="FCFCFC"/>
        </w:rPr>
        <w:t xml:space="preserve">. Yale UP, 2007; Phillip Gaskell, </w:t>
      </w:r>
      <w:r w:rsidRPr="00B015B7">
        <w:rPr>
          <w:i/>
          <w:iCs/>
          <w:color w:val="050505"/>
          <w:shd w:val="clear" w:color="auto" w:fill="FCFCFC"/>
        </w:rPr>
        <w:t>A New Introduction to Bibliography</w:t>
      </w:r>
      <w:r w:rsidRPr="00B015B7">
        <w:rPr>
          <w:color w:val="050505"/>
          <w:shd w:val="clear" w:color="auto" w:fill="FCFCFC"/>
        </w:rPr>
        <w:t xml:space="preserve">; </w:t>
      </w:r>
      <w:r w:rsidR="0076396B">
        <w:rPr>
          <w:color w:val="050505"/>
          <w:shd w:val="clear" w:color="auto" w:fill="FCFCFC"/>
        </w:rPr>
        <w:t xml:space="preserve">William </w:t>
      </w:r>
      <w:r w:rsidRPr="00B015B7">
        <w:rPr>
          <w:color w:val="050505"/>
          <w:shd w:val="clear" w:color="auto" w:fill="FCFCFC"/>
        </w:rPr>
        <w:t>St</w:t>
      </w:r>
      <w:r w:rsidR="0076396B">
        <w:rPr>
          <w:color w:val="050505"/>
          <w:shd w:val="clear" w:color="auto" w:fill="FCFCFC"/>
        </w:rPr>
        <w:t>.</w:t>
      </w:r>
      <w:r w:rsidRPr="00B015B7">
        <w:rPr>
          <w:color w:val="050505"/>
          <w:shd w:val="clear" w:color="auto" w:fill="FCFCFC"/>
        </w:rPr>
        <w:t xml:space="preserve"> Clair, </w:t>
      </w:r>
      <w:r w:rsidR="0076396B" w:rsidRPr="00B015B7">
        <w:rPr>
          <w:rFonts w:cs="Times New Roman"/>
          <w:i/>
          <w:iCs/>
          <w:color w:val="050505"/>
          <w:shd w:val="clear" w:color="auto" w:fill="FCFCFC"/>
        </w:rPr>
        <w:t>The Reading Nation in the Romantic Period</w:t>
      </w:r>
      <w:r w:rsidR="0076396B" w:rsidRPr="00B015B7">
        <w:rPr>
          <w:rFonts w:cs="Times New Roman"/>
          <w:color w:val="050505"/>
          <w:shd w:val="clear" w:color="auto" w:fill="FCFCFC"/>
        </w:rPr>
        <w:t xml:space="preserve"> (Cambridge: Cambridge University Press, 2007)</w:t>
      </w:r>
      <w:r w:rsidR="0076396B">
        <w:rPr>
          <w:rFonts w:cs="Times New Roman"/>
          <w:color w:val="050505"/>
          <w:shd w:val="clear" w:color="auto" w:fill="FCFCFC"/>
        </w:rPr>
        <w:t xml:space="preserve">, </w:t>
      </w:r>
      <w:r w:rsidRPr="00B015B7">
        <w:rPr>
          <w:color w:val="050505"/>
          <w:shd w:val="clear" w:color="auto" w:fill="FCFCFC"/>
        </w:rPr>
        <w:t xml:space="preserve">especially his chapter </w:t>
      </w:r>
      <w:r w:rsidRPr="00B015B7">
        <w:t xml:space="preserve">“Literary Production in the Romantic Period”; </w:t>
      </w:r>
      <w:r w:rsidR="0076396B">
        <w:t xml:space="preserve">Feather’s </w:t>
      </w:r>
      <w:r w:rsidRPr="00B015B7">
        <w:t>“Business Models in the Eighteenth</w:t>
      </w:r>
      <w:r w:rsidR="00106A04">
        <w:t>-</w:t>
      </w:r>
      <w:r w:rsidRPr="00B015B7">
        <w:t>Century London Book Trade</w:t>
      </w:r>
      <w:r w:rsidR="0036354C">
        <w:t>.</w:t>
      </w:r>
      <w:r w:rsidRPr="00B015B7">
        <w:t>”</w:t>
      </w:r>
      <w:r w:rsidRPr="00B015B7">
        <w:rPr>
          <w:color w:val="050505"/>
          <w:shd w:val="clear" w:color="auto" w:fill="FCFCFC"/>
        </w:rPr>
        <w:t xml:space="preserve"> </w:t>
      </w:r>
    </w:p>
  </w:endnote>
  <w:endnote w:id="7">
    <w:p w14:paraId="2CBE1ED6"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Printers could, of course, print their own compositions and is noted as a possible activity of the author in Table 1. Table 2 and the discussion of AFP, however, presumes that the average author would not have the necessary training or guild status to operate a press.</w:t>
      </w:r>
    </w:p>
  </w:endnote>
  <w:endnote w:id="8">
    <w:p w14:paraId="14B1CC1D"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Longman in 1816: “The Publisher gets the W[or]k Printed at the trade price, purchases the Paper at the best market, superintends the general interests of the W[or]k &amp; takes upon himself the risk of Bad Debts for which he charges a commission of 10 per cent on the Sales,” qtd. In Jan Fergus, </w:t>
      </w:r>
      <w:r w:rsidRPr="00B015B7">
        <w:rPr>
          <w:rFonts w:ascii="Times New Roman" w:hAnsi="Times New Roman" w:cs="Times New Roman"/>
          <w:i/>
          <w:iCs/>
          <w:sz w:val="24"/>
          <w:szCs w:val="24"/>
        </w:rPr>
        <w:t xml:space="preserve">Jane Austen: A Literary Life </w:t>
      </w:r>
      <w:r w:rsidRPr="00B015B7">
        <w:rPr>
          <w:rFonts w:ascii="Times New Roman" w:hAnsi="Times New Roman" w:cs="Times New Roman"/>
          <w:sz w:val="24"/>
          <w:szCs w:val="24"/>
        </w:rPr>
        <w:t xml:space="preserve">(London: Longman, 1992), 16. </w:t>
      </w:r>
    </w:p>
  </w:endnote>
  <w:endnote w:id="9">
    <w:p w14:paraId="03F03C3F"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On Longman’s terms in 1812, this means the House would “be at the entire </w:t>
      </w:r>
      <w:proofErr w:type="spellStart"/>
      <w:r w:rsidRPr="00B015B7">
        <w:rPr>
          <w:rFonts w:ascii="Times New Roman" w:hAnsi="Times New Roman" w:cs="Times New Roman"/>
          <w:sz w:val="24"/>
          <w:szCs w:val="24"/>
        </w:rPr>
        <w:t>expence</w:t>
      </w:r>
      <w:proofErr w:type="spellEnd"/>
      <w:r w:rsidRPr="00B015B7">
        <w:rPr>
          <w:rFonts w:ascii="Times New Roman" w:hAnsi="Times New Roman" w:cs="Times New Roman"/>
          <w:sz w:val="24"/>
          <w:szCs w:val="24"/>
        </w:rPr>
        <w:t xml:space="preserve"> of publishing the </w:t>
      </w:r>
      <w:proofErr w:type="gramStart"/>
      <w:r w:rsidRPr="00B015B7">
        <w:rPr>
          <w:rFonts w:ascii="Times New Roman" w:hAnsi="Times New Roman" w:cs="Times New Roman"/>
          <w:sz w:val="24"/>
          <w:szCs w:val="24"/>
        </w:rPr>
        <w:t>work, &amp;</w:t>
      </w:r>
      <w:proofErr w:type="gramEnd"/>
      <w:r w:rsidRPr="00B015B7">
        <w:rPr>
          <w:rFonts w:ascii="Times New Roman" w:hAnsi="Times New Roman" w:cs="Times New Roman"/>
          <w:sz w:val="24"/>
          <w:szCs w:val="24"/>
        </w:rPr>
        <w:t xml:space="preserve"> divide the clear profits with the author” (18 Nov. 1812, I/97/377). Qtd. In Jan Fergus and Janice Farrar Thaddeus, “Women, Publishers, and Money, 1790-1820,” </w:t>
      </w:r>
      <w:r w:rsidRPr="00B015B7">
        <w:rPr>
          <w:rFonts w:ascii="Times New Roman" w:hAnsi="Times New Roman" w:cs="Times New Roman"/>
          <w:i/>
          <w:iCs/>
          <w:sz w:val="24"/>
          <w:szCs w:val="24"/>
        </w:rPr>
        <w:t xml:space="preserve">Studies in Eighteenth-Century Culture </w:t>
      </w:r>
      <w:r w:rsidRPr="00B015B7">
        <w:rPr>
          <w:rFonts w:ascii="Times New Roman" w:hAnsi="Times New Roman" w:cs="Times New Roman"/>
          <w:sz w:val="24"/>
          <w:szCs w:val="24"/>
        </w:rPr>
        <w:t>17 (1988): 194.</w:t>
      </w:r>
    </w:p>
  </w:endnote>
  <w:endnote w:id="10">
    <w:p w14:paraId="3243E9D8"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In his </w:t>
      </w:r>
      <w:r w:rsidRPr="00B015B7">
        <w:rPr>
          <w:rFonts w:ascii="Times New Roman" w:hAnsi="Times New Roman" w:cs="Times New Roman"/>
          <w:i/>
          <w:iCs/>
          <w:sz w:val="24"/>
          <w:szCs w:val="24"/>
        </w:rPr>
        <w:t xml:space="preserve">Provincial Book Trade, </w:t>
      </w:r>
      <w:r w:rsidRPr="00B015B7">
        <w:rPr>
          <w:rFonts w:ascii="Times New Roman" w:hAnsi="Times New Roman" w:cs="Times New Roman"/>
          <w:sz w:val="24"/>
          <w:szCs w:val="24"/>
        </w:rPr>
        <w:t>Feather notes that the products of “vanity publishing” were “sold by the printer and the author, often having been printed at the author’s expense” (110). Printing ‘upon The Author’s Account,’ in the case of publisher Robert Dodsley, authors must “meet the costs of printing, paper and advertising” (“Business Models” 70).</w:t>
      </w:r>
    </w:p>
  </w:endnote>
  <w:endnote w:id="11">
    <w:p w14:paraId="132015AF"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David Oakleaf, “Marishall, Jean (fl. 1765–1788), novelist and playwright,” </w:t>
      </w:r>
      <w:r w:rsidRPr="00B015B7">
        <w:rPr>
          <w:rFonts w:ascii="Times New Roman" w:hAnsi="Times New Roman" w:cs="Times New Roman"/>
          <w:i/>
          <w:iCs/>
          <w:sz w:val="24"/>
          <w:szCs w:val="24"/>
        </w:rPr>
        <w:t>Oxford Dictionary of National Biography</w:t>
      </w:r>
      <w:r w:rsidRPr="00B015B7">
        <w:rPr>
          <w:rFonts w:ascii="Times New Roman" w:hAnsi="Times New Roman" w:cs="Times New Roman"/>
          <w:sz w:val="24"/>
          <w:szCs w:val="24"/>
        </w:rPr>
        <w:t> (Sep. 2004), Accessed 14 Oct. 2021. https://www.oxforddnb.com/view/10.1093/ref:odnb/9780198614128.001.0001/odnb-9780198614128-e-18140.</w:t>
      </w:r>
    </w:p>
  </w:endnote>
  <w:endnote w:id="12">
    <w:p w14:paraId="50EC87C1"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“Jean Marishall,” eds. Susan Brown, Patricia Clements, and Isobel Grundy, </w:t>
      </w:r>
      <w:r w:rsidRPr="00B015B7">
        <w:rPr>
          <w:rFonts w:ascii="Times New Roman" w:hAnsi="Times New Roman" w:cs="Times New Roman"/>
          <w:i/>
          <w:iCs/>
          <w:sz w:val="24"/>
          <w:szCs w:val="24"/>
        </w:rPr>
        <w:t>Orlando: Women's Writing in the British Isles from the Beginnings to the Present</w:t>
      </w:r>
      <w:r w:rsidRPr="00B015B7">
        <w:rPr>
          <w:rFonts w:ascii="Times New Roman" w:hAnsi="Times New Roman" w:cs="Times New Roman"/>
          <w:sz w:val="24"/>
          <w:szCs w:val="24"/>
        </w:rPr>
        <w:t xml:space="preserve"> (Cambridge: Cambridge University Press Online, 2006). &lt;http://orlando.cambridge.org/&gt;. 08 October 2021.</w:t>
      </w:r>
    </w:p>
  </w:endnote>
  <w:endnote w:id="13">
    <w:p w14:paraId="1D20E543"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Jean Marishall, </w:t>
      </w:r>
      <w:r w:rsidRPr="00B015B7">
        <w:rPr>
          <w:rFonts w:ascii="Times New Roman" w:hAnsi="Times New Roman" w:cs="Times New Roman"/>
          <w:i/>
          <w:iCs/>
          <w:sz w:val="24"/>
          <w:szCs w:val="24"/>
        </w:rPr>
        <w:t>A Series of Letters,</w:t>
      </w:r>
      <w:r w:rsidRPr="00B015B7">
        <w:rPr>
          <w:rFonts w:ascii="Times New Roman" w:hAnsi="Times New Roman" w:cs="Times New Roman"/>
          <w:sz w:val="24"/>
          <w:szCs w:val="24"/>
        </w:rPr>
        <w:t xml:space="preserve"> vol, II Edinburgh: Charles Elliot, 1789), 169.</w:t>
      </w:r>
    </w:p>
  </w:endnote>
  <w:endnote w:id="14">
    <w:p w14:paraId="1207EF45"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Ibid.</w:t>
      </w:r>
    </w:p>
  </w:endnote>
  <w:endnote w:id="15">
    <w:p w14:paraId="5572D8D2"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Ibid.</w:t>
      </w:r>
    </w:p>
  </w:endnote>
  <w:endnote w:id="16">
    <w:p w14:paraId="31F4D751"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Marishall, 203.</w:t>
      </w:r>
    </w:p>
  </w:endnote>
  <w:endnote w:id="17">
    <w:p w14:paraId="18F50EE7"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Ibid.</w:t>
      </w:r>
    </w:p>
  </w:endnote>
  <w:endnote w:id="18">
    <w:p w14:paraId="0C496A8B"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See </w:t>
      </w:r>
      <w:r w:rsidRPr="00B015B7">
        <w:rPr>
          <w:rFonts w:ascii="Times New Roman" w:hAnsi="Times New Roman" w:cs="Times New Roman"/>
          <w:i/>
          <w:iCs/>
          <w:sz w:val="24"/>
          <w:szCs w:val="24"/>
        </w:rPr>
        <w:t>Gazetteer and New Daily Advertiser</w:t>
      </w:r>
      <w:r w:rsidRPr="00B015B7">
        <w:rPr>
          <w:rFonts w:ascii="Times New Roman" w:hAnsi="Times New Roman" w:cs="Times New Roman"/>
          <w:sz w:val="24"/>
          <w:szCs w:val="24"/>
        </w:rPr>
        <w:t xml:space="preserve"> (London), Oct. 26, 1765, and </w:t>
      </w:r>
      <w:r w:rsidRPr="00B015B7">
        <w:rPr>
          <w:rFonts w:ascii="Times New Roman" w:hAnsi="Times New Roman" w:cs="Times New Roman"/>
          <w:i/>
          <w:iCs/>
          <w:sz w:val="24"/>
          <w:szCs w:val="24"/>
        </w:rPr>
        <w:t>Lloyd’s Evening Post</w:t>
      </w:r>
      <w:r w:rsidRPr="00B015B7">
        <w:rPr>
          <w:rFonts w:ascii="Times New Roman" w:hAnsi="Times New Roman" w:cs="Times New Roman"/>
          <w:sz w:val="24"/>
          <w:szCs w:val="24"/>
        </w:rPr>
        <w:t xml:space="preserve"> (London), Oct. 26, 1765.</w:t>
      </w:r>
    </w:p>
  </w:endnote>
  <w:endnote w:id="19">
    <w:p w14:paraId="778919EE"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Marishall, 184-85; 202.</w:t>
      </w:r>
    </w:p>
  </w:endnote>
  <w:endnote w:id="20">
    <w:p w14:paraId="61B4AB95"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Marishall, 193.</w:t>
      </w:r>
    </w:p>
  </w:endnote>
  <w:endnote w:id="21">
    <w:p w14:paraId="6B275129" w14:textId="77777777" w:rsidR="00F60132" w:rsidRPr="00B015B7" w:rsidRDefault="00F60132" w:rsidP="00F60132">
      <w:r w:rsidRPr="00B015B7">
        <w:rPr>
          <w:rStyle w:val="EndnoteReference"/>
          <w:rFonts w:eastAsia="Arial"/>
        </w:rPr>
        <w:endnoteRef/>
      </w:r>
      <w:r w:rsidRPr="00B015B7">
        <w:t xml:space="preserve"> Marishall, 199.</w:t>
      </w:r>
    </w:p>
  </w:endnote>
  <w:endnote w:id="22">
    <w:p w14:paraId="5E619086"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Marishall, 191. </w:t>
      </w:r>
    </w:p>
  </w:endnote>
  <w:endnote w:id="23">
    <w:p w14:paraId="5FF23D9E" w14:textId="77777777" w:rsidR="00F60132" w:rsidRPr="00B015B7" w:rsidRDefault="00F60132" w:rsidP="00F60132">
      <w:pPr>
        <w:pStyle w:val="EndnoteText"/>
        <w:rPr>
          <w:rFonts w:ascii="Times New Roman" w:hAnsi="Times New Roman" w:cs="Times New Roman"/>
          <w:sz w:val="24"/>
          <w:szCs w:val="24"/>
        </w:rPr>
      </w:pPr>
      <w:r w:rsidRPr="00B015B7">
        <w:rPr>
          <w:rStyle w:val="EndnoteReference"/>
          <w:rFonts w:ascii="Times New Roman" w:hAnsi="Times New Roman" w:cs="Times New Roman"/>
          <w:sz w:val="24"/>
          <w:szCs w:val="24"/>
        </w:rPr>
        <w:endnoteRef/>
      </w:r>
      <w:r w:rsidRPr="00B015B7">
        <w:rPr>
          <w:rFonts w:ascii="Times New Roman" w:hAnsi="Times New Roman" w:cs="Times New Roman"/>
          <w:sz w:val="24"/>
          <w:szCs w:val="24"/>
        </w:rPr>
        <w:t xml:space="preserve"> Marishall would, however, publish her 1772 play, </w:t>
      </w:r>
      <w:r w:rsidRPr="00B015B7">
        <w:rPr>
          <w:rFonts w:ascii="Times New Roman" w:hAnsi="Times New Roman" w:cs="Times New Roman"/>
          <w:i/>
          <w:iCs/>
          <w:sz w:val="24"/>
          <w:szCs w:val="24"/>
        </w:rPr>
        <w:t xml:space="preserve">Sir Harry </w:t>
      </w:r>
      <w:proofErr w:type="spellStart"/>
      <w:r w:rsidRPr="00B015B7">
        <w:rPr>
          <w:rFonts w:ascii="Times New Roman" w:hAnsi="Times New Roman" w:cs="Times New Roman"/>
          <w:i/>
          <w:iCs/>
          <w:sz w:val="24"/>
          <w:szCs w:val="24"/>
        </w:rPr>
        <w:t>Gaylove</w:t>
      </w:r>
      <w:proofErr w:type="spellEnd"/>
      <w:r w:rsidRPr="00B015B7">
        <w:rPr>
          <w:rFonts w:ascii="Times New Roman" w:hAnsi="Times New Roman" w:cs="Times New Roman"/>
          <w:i/>
          <w:iCs/>
          <w:sz w:val="24"/>
          <w:szCs w:val="24"/>
        </w:rPr>
        <w:t xml:space="preserve">, or Comedy in Embryo. In Five Acts, </w:t>
      </w:r>
      <w:r w:rsidRPr="00B015B7">
        <w:rPr>
          <w:rFonts w:ascii="Times New Roman" w:hAnsi="Times New Roman" w:cs="Times New Roman"/>
          <w:sz w:val="24"/>
          <w:szCs w:val="24"/>
        </w:rPr>
        <w:t>by subscription.</w:t>
      </w:r>
    </w:p>
  </w:endnote>
  <w:endnote w:id="24">
    <w:p w14:paraId="6B32C78A" w14:textId="77777777" w:rsidR="00F60132" w:rsidRPr="00B015B7" w:rsidRDefault="00F60132" w:rsidP="00F60132">
      <w:r w:rsidRPr="00B015B7">
        <w:rPr>
          <w:rStyle w:val="EndnoteReference"/>
          <w:rFonts w:eastAsia="Arial"/>
        </w:rPr>
        <w:endnoteRef/>
      </w:r>
      <w:r w:rsidRPr="00B015B7">
        <w:t xml:space="preserve"> Elizabeth Lee, “Marshall or Marishall, Jane (</w:t>
      </w:r>
      <w:proofErr w:type="spellStart"/>
      <w:r w:rsidRPr="00B015B7">
        <w:t>fl</w:t>
      </w:r>
      <w:proofErr w:type="spellEnd"/>
      <w:r w:rsidRPr="00B015B7">
        <w:t xml:space="preserve"> 1765),” </w:t>
      </w:r>
      <w:r w:rsidRPr="00B015B7">
        <w:rPr>
          <w:i/>
          <w:iCs/>
        </w:rPr>
        <w:t>Oxford Dictionary of National Biography</w:t>
      </w:r>
      <w:proofErr w:type="gramStart"/>
      <w:r w:rsidRPr="00B015B7">
        <w:t>. ;</w:t>
      </w:r>
      <w:proofErr w:type="gramEnd"/>
      <w:r w:rsidRPr="00B015B7">
        <w:t> Accessed 14 Oct. 2021.</w:t>
      </w:r>
      <w:r w:rsidRPr="00B015B7">
        <w:rPr>
          <w:color w:val="2A2A2A"/>
          <w:shd w:val="clear" w:color="auto" w:fill="F2F5F9"/>
        </w:rPr>
        <w:t xml:space="preserve"> </w:t>
      </w:r>
      <w:hyperlink r:id="rId2" w:history="1">
        <w:r w:rsidRPr="00B015B7">
          <w:t>https://www.oxforddnb.com/view/10.1093/odnb/9780192683120.001.0001/odnb-9780192683120-e-18140</w:t>
        </w:r>
      </w:hyperlink>
      <w:r w:rsidRPr="00B015B7">
        <w:t>. Published 1893.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2B9C" w14:textId="77777777" w:rsidR="003A5EA9" w:rsidRDefault="003A5EA9" w:rsidP="000D179E">
      <w:r>
        <w:separator/>
      </w:r>
    </w:p>
  </w:footnote>
  <w:footnote w:type="continuationSeparator" w:id="0">
    <w:p w14:paraId="4452DD79" w14:textId="77777777" w:rsidR="003A5EA9" w:rsidRDefault="003A5EA9" w:rsidP="000D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409548"/>
      <w:docPartObj>
        <w:docPartGallery w:val="Page Numbers (Top of Page)"/>
        <w:docPartUnique/>
      </w:docPartObj>
    </w:sdtPr>
    <w:sdtContent>
      <w:p w14:paraId="64EC2655" w14:textId="3494EA57" w:rsidR="000D179E" w:rsidRDefault="000D179E" w:rsidP="00CE64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25D2A" w14:textId="77777777" w:rsidR="000D179E" w:rsidRDefault="000D179E" w:rsidP="000D17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9288142"/>
      <w:docPartObj>
        <w:docPartGallery w:val="Page Numbers (Top of Page)"/>
        <w:docPartUnique/>
      </w:docPartObj>
    </w:sdtPr>
    <w:sdtContent>
      <w:p w14:paraId="3AF6BFF0" w14:textId="4199DE51" w:rsidR="000D179E" w:rsidRDefault="000D179E" w:rsidP="00CE64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71681F" w14:textId="77777777" w:rsidR="000D179E" w:rsidRDefault="000D179E" w:rsidP="000D179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9E"/>
    <w:rsid w:val="000D179E"/>
    <w:rsid w:val="00106A04"/>
    <w:rsid w:val="00321767"/>
    <w:rsid w:val="0036354C"/>
    <w:rsid w:val="003A5EA9"/>
    <w:rsid w:val="00574B52"/>
    <w:rsid w:val="0068166A"/>
    <w:rsid w:val="006E7CAC"/>
    <w:rsid w:val="0076396B"/>
    <w:rsid w:val="007B64AD"/>
    <w:rsid w:val="00827257"/>
    <w:rsid w:val="00974EA3"/>
    <w:rsid w:val="009813BB"/>
    <w:rsid w:val="0099263F"/>
    <w:rsid w:val="00A17C66"/>
    <w:rsid w:val="00AD70BE"/>
    <w:rsid w:val="00D14B4C"/>
    <w:rsid w:val="00D77D9D"/>
    <w:rsid w:val="00F60132"/>
    <w:rsid w:val="00F65C57"/>
    <w:rsid w:val="00FC43E0"/>
    <w:rsid w:val="00FE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41F1"/>
  <w15:chartTrackingRefBased/>
  <w15:docId w15:val="{25C592B2-5E1C-B54A-A82E-81F465E8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66"/>
    <w:rPr>
      <w:rFonts w:ascii="Times New Roman" w:hAnsi="Times New Roman"/>
    </w:rPr>
  </w:style>
  <w:style w:type="paragraph" w:styleId="Heading3">
    <w:name w:val="heading 3"/>
    <w:basedOn w:val="Normal"/>
    <w:link w:val="Heading3Char"/>
    <w:uiPriority w:val="9"/>
    <w:qFormat/>
    <w:rsid w:val="000D179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179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D179E"/>
    <w:rPr>
      <w:color w:val="0563C1" w:themeColor="hyperlink"/>
      <w:u w:val="single"/>
    </w:rPr>
  </w:style>
  <w:style w:type="character" w:styleId="UnresolvedMention">
    <w:name w:val="Unresolved Mention"/>
    <w:basedOn w:val="DefaultParagraphFont"/>
    <w:uiPriority w:val="99"/>
    <w:semiHidden/>
    <w:unhideWhenUsed/>
    <w:rsid w:val="000D179E"/>
    <w:rPr>
      <w:color w:val="605E5C"/>
      <w:shd w:val="clear" w:color="auto" w:fill="E1DFDD"/>
    </w:rPr>
  </w:style>
  <w:style w:type="paragraph" w:styleId="Header">
    <w:name w:val="header"/>
    <w:basedOn w:val="Normal"/>
    <w:link w:val="HeaderChar"/>
    <w:uiPriority w:val="99"/>
    <w:unhideWhenUsed/>
    <w:rsid w:val="000D179E"/>
    <w:pPr>
      <w:tabs>
        <w:tab w:val="center" w:pos="4680"/>
        <w:tab w:val="right" w:pos="9360"/>
      </w:tabs>
    </w:pPr>
  </w:style>
  <w:style w:type="character" w:customStyle="1" w:styleId="HeaderChar">
    <w:name w:val="Header Char"/>
    <w:basedOn w:val="DefaultParagraphFont"/>
    <w:link w:val="Header"/>
    <w:uiPriority w:val="99"/>
    <w:rsid w:val="000D179E"/>
    <w:rPr>
      <w:rFonts w:ascii="Times New Roman" w:hAnsi="Times New Roman"/>
    </w:rPr>
  </w:style>
  <w:style w:type="paragraph" w:styleId="Footer">
    <w:name w:val="footer"/>
    <w:basedOn w:val="Normal"/>
    <w:link w:val="FooterChar"/>
    <w:uiPriority w:val="99"/>
    <w:unhideWhenUsed/>
    <w:rsid w:val="000D179E"/>
    <w:pPr>
      <w:tabs>
        <w:tab w:val="center" w:pos="4680"/>
        <w:tab w:val="right" w:pos="9360"/>
      </w:tabs>
    </w:pPr>
  </w:style>
  <w:style w:type="character" w:customStyle="1" w:styleId="FooterChar">
    <w:name w:val="Footer Char"/>
    <w:basedOn w:val="DefaultParagraphFont"/>
    <w:link w:val="Footer"/>
    <w:uiPriority w:val="99"/>
    <w:rsid w:val="000D179E"/>
    <w:rPr>
      <w:rFonts w:ascii="Times New Roman" w:hAnsi="Times New Roman"/>
    </w:rPr>
  </w:style>
  <w:style w:type="character" w:styleId="PageNumber">
    <w:name w:val="page number"/>
    <w:basedOn w:val="DefaultParagraphFont"/>
    <w:uiPriority w:val="99"/>
    <w:semiHidden/>
    <w:unhideWhenUsed/>
    <w:rsid w:val="000D179E"/>
  </w:style>
  <w:style w:type="paragraph" w:styleId="EndnoteText">
    <w:name w:val="endnote text"/>
    <w:basedOn w:val="Normal"/>
    <w:link w:val="EndnoteTextChar"/>
    <w:uiPriority w:val="99"/>
    <w:unhideWhenUsed/>
    <w:rsid w:val="00D14B4C"/>
    <w:rPr>
      <w:rFonts w:ascii="Arial" w:eastAsia="Arial" w:hAnsi="Arial" w:cs="Arial"/>
      <w:sz w:val="20"/>
      <w:szCs w:val="20"/>
      <w:lang w:val="en"/>
    </w:rPr>
  </w:style>
  <w:style w:type="character" w:customStyle="1" w:styleId="EndnoteTextChar">
    <w:name w:val="Endnote Text Char"/>
    <w:basedOn w:val="DefaultParagraphFont"/>
    <w:link w:val="EndnoteText"/>
    <w:uiPriority w:val="99"/>
    <w:rsid w:val="00D14B4C"/>
    <w:rPr>
      <w:rFonts w:ascii="Arial" w:eastAsia="Arial" w:hAnsi="Arial" w:cs="Arial"/>
      <w:sz w:val="20"/>
      <w:szCs w:val="20"/>
      <w:lang w:val="en"/>
    </w:rPr>
  </w:style>
  <w:style w:type="character" w:styleId="EndnoteReference">
    <w:name w:val="endnote reference"/>
    <w:basedOn w:val="DefaultParagraphFont"/>
    <w:uiPriority w:val="99"/>
    <w:semiHidden/>
    <w:unhideWhenUsed/>
    <w:rsid w:val="00D14B4C"/>
    <w:rPr>
      <w:vertAlign w:val="superscript"/>
    </w:rPr>
  </w:style>
  <w:style w:type="paragraph" w:styleId="NormalWeb">
    <w:name w:val="Normal (Web)"/>
    <w:basedOn w:val="Normal"/>
    <w:uiPriority w:val="99"/>
    <w:unhideWhenUsed/>
    <w:rsid w:val="00D14B4C"/>
    <w:pPr>
      <w:spacing w:before="100" w:beforeAutospacing="1" w:after="100" w:afterAutospacing="1"/>
    </w:pPr>
    <w:rPr>
      <w:rFonts w:eastAsia="Times New Roman" w:cs="Times New Roman"/>
    </w:rPr>
  </w:style>
  <w:style w:type="table" w:styleId="TableGrid">
    <w:name w:val="Table Grid"/>
    <w:basedOn w:val="TableNormal"/>
    <w:uiPriority w:val="39"/>
    <w:rsid w:val="00D1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14B4C"/>
    <w:pPr>
      <w:spacing w:after="200"/>
    </w:pPr>
    <w:rPr>
      <w:rFonts w:eastAsia="Times New Roman" w:cs="Times New Roman"/>
      <w:i/>
      <w:iCs/>
      <w:color w:val="44546A" w:themeColor="text2"/>
      <w:sz w:val="18"/>
      <w:szCs w:val="18"/>
    </w:rPr>
  </w:style>
  <w:style w:type="character" w:styleId="Emphasis">
    <w:name w:val="Emphasis"/>
    <w:basedOn w:val="DefaultParagraphFont"/>
    <w:uiPriority w:val="20"/>
    <w:qFormat/>
    <w:rsid w:val="00F601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unaugle@oakland.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oxforddnb.com/view/10.1093/odnb/9780192683120.001.0001/odnb-9780192683120-e-18140" TargetMode="External"/><Relationship Id="rId1" Type="http://schemas.openxmlformats.org/officeDocument/2006/relationships/hyperlink" Target="https://womensprinthistoryproject.com/blog/post/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Spunaugle</dc:creator>
  <cp:keywords/>
  <dc:description/>
  <cp:lastModifiedBy>Emily  Spunaugle</cp:lastModifiedBy>
  <cp:revision>5</cp:revision>
  <dcterms:created xsi:type="dcterms:W3CDTF">2024-02-01T17:04:00Z</dcterms:created>
  <dcterms:modified xsi:type="dcterms:W3CDTF">2024-02-01T20:47:00Z</dcterms:modified>
</cp:coreProperties>
</file>